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RLJ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14,289,241.00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14,862,881.00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15,000,624.00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137,743.00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137,743.00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15,000,624.00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RLJ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7373 WISCONSIN AVE, SUITE 1500, BETHESDA, MARYLAND,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Smith &amp; Co.,Inc.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 West 57th Street New York, NY 10019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15,000,624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9.87%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Donald Smith &amp; Co., Inc. 14,289,241 DSCO Value Fund, L.P. 137,743</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ITEM 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Smith &amp; Co., Inc. 14,862,881 DSCO Value Fund, L.P. 137,743</w:t>
      </w:r>
    </w:p>
    <w:p>
      <w:pPr>
        <w:spacing w:after="0" w:line="287" w:lineRule="exact"/>
        <w:rPr>
          <w:sz w:val="20"/>
          <w:szCs w:val="20"/>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firstLine="6"/>
        <w:spacing w:after="0" w:line="233" w:lineRule="auto"/>
        <w:tabs>
          <w:tab w:leader="none" w:pos="2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RLJ Lodging Trust. No one person?s interest in the Common Stock of RLJ Lodging Trust is more than five percent of the total outstanding Common Stock.</w:t>
      </w:r>
    </w:p>
    <w:p>
      <w:pPr>
        <w:spacing w:after="0" w:line="2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Donald Smith &amp; Co., Inc. IA DSCO Value Fund, L.P. PN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080"/>
        <w:spacing w:after="0"/>
        <w:rPr>
          <w:sz w:val="20"/>
          <w:szCs w:val="20"/>
          <w:color w:val="auto"/>
        </w:rPr>
      </w:pPr>
      <w:r>
        <w:rPr>
          <w:rFonts w:ascii="Times New Roman" w:cs="Times New Roman" w:eastAsia="Times New Roman" w:hAnsi="Times New Roman"/>
          <w:sz w:val="21"/>
          <w:szCs w:val="21"/>
          <w:color w:val="auto"/>
        </w:rPr>
        <w:t>Name/Title: CEO and Co-CIO</w:t>
      </w:r>
    </w:p>
    <w:p>
      <w:pPr>
        <w:spacing w:after="0" w:line="56" w:lineRule="exact"/>
        <w:rPr>
          <w:sz w:val="20"/>
          <w:szCs w:val="20"/>
          <w:color w:val="auto"/>
        </w:rPr>
      </w:pPr>
    </w:p>
    <w:p>
      <w:pPr>
        <w:ind w:left="2080"/>
        <w:spacing w:after="0"/>
        <w:tabs>
          <w:tab w:leader="none" w:pos="3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4"/>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2026-05-14T11:31:03Z</dcterms:created>
  <dcterms:modified xsi:type="dcterms:W3CDTF">2026-05-14T11:31:03Z</dcterms:modified>
</cp:coreProperties>
</file>