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06,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RLJ LODGING TRUST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87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950"/>
        <w:gridCol w:w="950"/>
        <w:gridCol w:w="135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27-4706509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left"/>
        <w:rPr>
          <w:color w:val="000000"/>
        </w:rPr>
      </w:pPr>
      <w:r>
        <w:rPr>
          <w:color w:val="000000"/>
        </w:rPr>
        <w:t> </w:t>
      </w:r>
    </w:p>
    <w:tbl>
      <w:tblPr>
        <w:tblW w:w="4661" w:type="dxa"/>
        <w:jc w:val="left"/>
        <w:tblInd w:w="0" w:type="dxa"/>
        <w:tblLayout w:type="fixed"/>
        <w:tblCellMar>
          <w:top w:w="28" w:type="dxa"/>
          <w:left w:w="28" w:type="dxa"/>
          <w:bottom w:w="28" w:type="dxa"/>
          <w:right w:w="28" w:type="dxa"/>
        </w:tblCellMar>
      </w:tblPr>
      <w:tblGrid>
        <w:gridCol w:w="609"/>
        <w:gridCol w:w="536"/>
        <w:gridCol w:w="536"/>
        <w:gridCol w:w="536"/>
        <w:gridCol w:w="536"/>
        <w:gridCol w:w="546"/>
        <w:gridCol w:w="109"/>
        <w:gridCol w:w="109"/>
        <w:gridCol w:w="109"/>
        <w:gridCol w:w="303"/>
        <w:gridCol w:w="303"/>
        <w:gridCol w:w="429"/>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7373 Wisconsin Avenue, Suite 1500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Bethesda,</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20814</w:t>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280-7777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 xml:space="preserve">Securities registered pursuant to Section 12 (b) of the Exchange Act: </w:t>
      </w:r>
    </w:p>
    <w:tbl>
      <w:tblPr>
        <w:tblW w:w="10205" w:type="dxa"/>
        <w:jc w:val="center"/>
        <w:tblInd w:w="0" w:type="dxa"/>
        <w:tblLayout w:type="fixed"/>
        <w:tblCellMar>
          <w:top w:w="28" w:type="dxa"/>
          <w:left w:w="28" w:type="dxa"/>
          <w:bottom w:w="28" w:type="dxa"/>
          <w:right w:w="28" w:type="dxa"/>
        </w:tblCellMar>
      </w:tblPr>
      <w:tblGrid>
        <w:gridCol w:w="1790"/>
        <w:gridCol w:w="1571"/>
        <w:gridCol w:w="1568"/>
        <w:gridCol w:w="109"/>
        <w:gridCol w:w="109"/>
        <w:gridCol w:w="109"/>
        <w:gridCol w:w="456"/>
        <w:gridCol w:w="456"/>
        <w:gridCol w:w="458"/>
        <w:gridCol w:w="109"/>
        <w:gridCol w:w="109"/>
        <w:gridCol w:w="109"/>
        <w:gridCol w:w="951"/>
        <w:gridCol w:w="951"/>
        <w:gridCol w:w="1350"/>
      </w:tblGrid>
      <w:tr>
        <w:trPr/>
        <w:tc>
          <w:tcPr>
            <w:tcW w:w="179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Exchange on Which Registered</w:t>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of beneficial interest,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RLJ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6, 2026, RLJ Lodging Trust (the “Company”) issued a press release announcing its financial results for the quarter ended June 30, 2026.  A copy of the press release is furnished as Exhibit 99.1 to this Current Report on Form 8-K.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filing.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(a)  Not applicable.</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(c)  Not applicable.</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filed as part of this report: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9"/>
        <w:gridCol w:w="247"/>
        <w:gridCol w:w="226"/>
        <w:gridCol w:w="109"/>
        <w:gridCol w:w="109"/>
        <w:gridCol w:w="109"/>
        <w:gridCol w:w="2664"/>
        <w:gridCol w:w="2664"/>
        <w:gridCol w:w="3798"/>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rljq22026exhibit991.htm">
              <w:r>
                <w:rPr>
                  <w:rStyle w:val="InternetLink"/>
                  <w:rFonts w:ascii="Times New Roman;serif" w:hAnsi="Times New Roman;serif"/>
                  <w:b w:val="false"/>
                  <w:color w:val="0000FF"/>
                  <w:sz w:val="20"/>
                  <w:u w:val="single"/>
                </w:rPr>
                <w:t>Press release dated August 6, 2026, issued by RLJ Lodging Trust, providing financial results for the quarter ended June 30, 2026.</w:t>
              </w:r>
            </w:hyperlink>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6178" w:type="dxa"/>
        <w:jc w:val="left"/>
        <w:tblInd w:w="0" w:type="dxa"/>
        <w:tblLayout w:type="fixed"/>
        <w:tblCellMar>
          <w:top w:w="28" w:type="dxa"/>
          <w:left w:w="28" w:type="dxa"/>
          <w:bottom w:w="28" w:type="dxa"/>
          <w:right w:w="28" w:type="dxa"/>
        </w:tblCellMar>
      </w:tblPr>
      <w:tblGrid>
        <w:gridCol w:w="705"/>
        <w:gridCol w:w="619"/>
        <w:gridCol w:w="625"/>
        <w:gridCol w:w="340"/>
        <w:gridCol w:w="340"/>
        <w:gridCol w:w="340"/>
        <w:gridCol w:w="934"/>
        <w:gridCol w:w="934"/>
        <w:gridCol w:w="134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RLJ LODGING TRUST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LIST</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9"/>
        <w:gridCol w:w="247"/>
        <w:gridCol w:w="226"/>
        <w:gridCol w:w="109"/>
        <w:gridCol w:w="109"/>
        <w:gridCol w:w="109"/>
        <w:gridCol w:w="2664"/>
        <w:gridCol w:w="2664"/>
        <w:gridCol w:w="3798"/>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jq22026exhibit991.htm">
              <w:r>
                <w:rPr>
                  <w:rStyle w:val="InternetLink"/>
                  <w:rFonts w:ascii="Times New Roman;serif" w:hAnsi="Times New Roman;serif"/>
                  <w:b w:val="false"/>
                  <w:color w:val="0000FF"/>
                  <w:sz w:val="20"/>
                  <w:u w:val="single"/>
                </w:rPr>
                <w:t>Press release dated August 6, 2026, issued by RLJ Lodging Trust, providing financial results for the quarter ended June 30, 2026.</w:t>
              </w:r>
            </w:hyperlink>
          </w:p>
          <w:p>
            <w:pPr>
              <w:pStyle w:val="TableContents"/>
              <w:bidi w:val="0"/>
              <w:spacing w:before="0" w:after="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drawing>
          <wp:inline distT="0" distB="0" distL="0" distR="0">
            <wp:extent cx="2619375"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Press Release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RLJ Lodging Trust Reports Second Quarter 2026 Results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Q2 RevPAR increased 6.8%</w:t>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Adjusted FFO per diluted common share and unit of $0.52 increased 8.3%</w:t>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Adjusted EBITDA of $110.4 million increased 6.1%</w:t>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Increasing full-year outlook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Bethesda, MD, August 6, 2026 – RLJ Lodging Trust (the “Company”) (NYSE: RLJ) today reported results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Second Quarter Highlights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Comparable RevPAR of $167.15, an increase of 6.8% over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Comparable Hotel Revenue of $382.0 million, an increase of 6.8% over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Net income of $31.3 million, an increase of 9.4% over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Comparable Hotel EBITDA of $119.5 million, an increase of 7.1% over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Comparable Hotel EBITDA Margin of 31.3%</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Adjusted EBITDA of $110.4 million, an increase of 6.1% over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Adjusted FFO per diluted common share and unit of $0.52, an increase of 8.3% over the prior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"We are pleased with our strong second quarter results, which exceeded our expectations, driven by the broad-based strength across our portfolio, including the continued acceleration of business travel and robust urban leisure trends. Our results further benefitted from our continued success in driving out-of-room spend as well as the successful ramp of our recently completed renovations and conversions.We also continued to advance our conversion pipeline with the completion and relaunch of our Autograph Collection asset in Pittsburgh, further increasing our exposure to the lifestyle segment and evolving consumer preferences.” commented Leslie D. Hale, President and Chief Executive Officer. "The broad-based nature of the growth across markets and demand segments year-to-date give us confidence in the durability of the demand trends we are seeing. As a result, we are raising our full-year guidance to reflect our second quarter outperformance and the continuation of these positive trends through the second half of the year as well as the ongoing ramp of our conversions and renovations."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rFonts w:ascii="Times New Roman;serif" w:hAnsi="Times New Roman;serif"/>
          <w:b w:val="false"/>
          <w:i/>
          <w:color w:val="000000"/>
          <w:sz w:val="22"/>
        </w:rPr>
      </w:pPr>
      <w:r>
        <w:rPr>
          <w:rFonts w:ascii="Times New Roman;serif" w:hAnsi="Times New Roman;serif"/>
          <w:b w:val="false"/>
          <w:i/>
          <w:color w:val="000000"/>
          <w:sz w:val="22"/>
        </w:rPr>
        <w:t xml:space="preserve">The prefix “comparable” as defined by the Company, denotes operating results which include results for periods prior to its ownership and excludes sold hotels. Explanations of EBITDA, EBITDAre, Adjusted EBITDA, Hotel EBITDA, Hotel EBITDA Margin, FFO, and Adjusted FFO, as well as reconciliations of those measures to net income or loss, if applicable, are included within this release. </w:t>
      </w:r>
    </w:p>
    <w:p>
      <w:pPr>
        <w:pStyle w:val="TextBody"/>
        <w:bidi w:val="0"/>
        <w:spacing w:before="0" w:after="0"/>
        <w:jc w:val="both"/>
        <w:rPr/>
      </w:pPr>
      <w:r>
        <w:rPr/>
        <w:drawing>
          <wp:inline distT="0" distB="0" distL="0" distR="0">
            <wp:extent cx="2619375" cy="476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u w:val="single"/>
        </w:rPr>
        <w:t>Financial and Operating Highlights</w:t>
      </w:r>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in thousands, except ADR, RevPAR, Change, and per share amounts)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w:t>
      </w:r>
    </w:p>
    <w:tbl>
      <w:tblPr>
        <w:tblW w:w="9047" w:type="dxa"/>
        <w:jc w:val="center"/>
        <w:tblInd w:w="0" w:type="dxa"/>
        <w:tblLayout w:type="fixed"/>
        <w:tblCellMar>
          <w:top w:w="28" w:type="dxa"/>
          <w:left w:w="28" w:type="dxa"/>
          <w:bottom w:w="28" w:type="dxa"/>
          <w:right w:w="28" w:type="dxa"/>
        </w:tblCellMar>
      </w:tblPr>
      <w:tblGrid>
        <w:gridCol w:w="1330"/>
        <w:gridCol w:w="1169"/>
        <w:gridCol w:w="1176"/>
        <w:gridCol w:w="306"/>
        <w:gridCol w:w="306"/>
        <w:gridCol w:w="306"/>
        <w:gridCol w:w="306"/>
        <w:gridCol w:w="306"/>
        <w:gridCol w:w="306"/>
        <w:gridCol w:w="306"/>
        <w:gridCol w:w="306"/>
        <w:gridCol w:w="306"/>
        <w:gridCol w:w="278"/>
        <w:gridCol w:w="278"/>
        <w:gridCol w:w="278"/>
        <w:gridCol w:w="278"/>
        <w:gridCol w:w="278"/>
        <w:gridCol w:w="278"/>
        <w:gridCol w:w="278"/>
        <w:gridCol w:w="278"/>
        <w:gridCol w:w="39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three months ended June 30,</w:t>
            </w:r>
          </w:p>
        </w:tc>
        <w:tc>
          <w:tcPr>
            <w:tcW w:w="2618"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six months ended June 30,</w:t>
            </w:r>
          </w:p>
        </w:tc>
      </w:tr>
      <w:tr>
        <w:trPr/>
        <w:tc>
          <w:tcPr>
            <w:tcW w:w="3675"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9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9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Change</w:t>
            </w:r>
          </w:p>
        </w:tc>
        <w:tc>
          <w:tcPr>
            <w:tcW w:w="834"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834"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950"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Change</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Operational Overview: </w:t>
            </w:r>
            <w:r>
              <w:rPr>
                <w:rFonts w:ascii="Times New Roman;serif" w:hAnsi="Times New Roman;serif"/>
                <w:b w:val="false"/>
                <w:color w:val="000000"/>
                <w:sz w:val="16"/>
              </w:rPr>
              <w:t>(1)</w:t>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ADR</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$217.18</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$206.96</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$213.93</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$206.49</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Occupancy</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77.0%</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75.6%</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73.9%</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72.4%</w:t>
            </w:r>
          </w:p>
        </w:tc>
        <w:tc>
          <w:tcPr>
            <w:tcW w:w="95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RevPAR</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$167.15</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$156.52</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$158.10</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$149.46</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Overview:</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$382,988</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$363,103</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$722,965</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$691,222</w:t>
            </w:r>
          </w:p>
        </w:tc>
        <w:tc>
          <w:tcPr>
            <w:tcW w:w="95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Hotel Revenue</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$382,020</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$357,542</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$720,606</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$679,058</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$31,328</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$28,631</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$30,979</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$31,803</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Hotel EBITDA</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$119,514</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$111,544</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$209,179</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$195,327</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Hotel EBITDA Margin</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 bps</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28.8%</w:t>
            </w:r>
          </w:p>
        </w:tc>
        <w:tc>
          <w:tcPr>
            <w:tcW w:w="95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bps</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$110,393</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$104,008</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$191,266</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$181,602</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FFO</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$78,527</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$72,658</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$128,047</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$119,579</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367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FFO Per Diluted Common Share and Unit</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$0.52</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$0.48</w:t>
            </w:r>
          </w:p>
        </w:tc>
        <w:tc>
          <w:tcPr>
            <w:tcW w:w="91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$0.85</w:t>
            </w:r>
          </w:p>
        </w:tc>
        <w:tc>
          <w:tcPr>
            <w:tcW w:w="83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$0.79</w:t>
            </w:r>
          </w:p>
        </w:tc>
        <w:tc>
          <w:tcPr>
            <w:tcW w:w="95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bl>
    <w:p>
      <w:pPr>
        <w:pStyle w:val="TextBody"/>
        <w:bidi w:val="0"/>
        <w:spacing w:lineRule="auto" w:line="288" w:before="0" w:after="0"/>
        <w:jc w:val="left"/>
        <w:rPr/>
      </w:pPr>
      <w:r>
        <w:rPr>
          <w:rFonts w:ascii="Times New Roman;serif" w:hAnsi="Times New Roman;serif"/>
          <w:b/>
          <w:color w:val="000000"/>
          <w:sz w:val="16"/>
        </w:rPr>
        <w:t>Note:</w:t>
      </w:r>
      <w:r>
        <w:rPr>
          <w:color w:val="000000"/>
        </w:rPr>
        <w:t xml:space="preserve">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Comparable statistics reflect the Company's 91 hotel portfolio owned as of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u w:val="single"/>
        </w:rPr>
      </w:pPr>
      <w:r>
        <w:rPr>
          <w:rFonts w:ascii="Times New Roman;serif" w:hAnsi="Times New Roman;serif"/>
          <w:b/>
          <w:color w:val="000000"/>
          <w:sz w:val="24"/>
          <w:u w:val="single"/>
        </w:rPr>
        <w:t>Operational Update</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the three months ended June 30, 2026, Comparable RevPAR increased by 6.8%, driven by ADR growth of 4.9%, with each month of the quarter exceeding the Company's expectations. Comparable non-room revenues increased 7.1%, exceeding comparable RevPAR growth by 30 basis points and reflecting the continued success of the Company's return-on-investment initiatives. This strong top line performance drove Comparable Hotel EBITDA growth of 7.1% and Adjusted EBITDA growth of 6.1% over the prior year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Disposition</w:t>
      </w:r>
    </w:p>
    <w:p>
      <w:pPr>
        <w:pStyle w:val="TextBody"/>
        <w:bidi w:val="0"/>
        <w:spacing w:lineRule="auto" w:line="26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During the second quarter of 2026, the Company opportunistically sold one hotel in Fremont, California for $13.2 million, which represents 29.2x Hotel EBITDA on a trailing-twelve month basis, including required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Balance Sheet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June 30, 2026, the Company drew $344.0 million under its $569.0 million delayed draw term loan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maturing in 2031 and $150.0 million under its delayed draw term loan maturing in 2033 for total proceeds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$494.0 million. Subsequent to quarter end, on July 1, 2026, the Company used these proceeds, together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cash on hand, to fully repay the $500.0 million Senior Notes due 2026 on their maturity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this repayment, the Company had $1.0 billion of total liquidity, $2.2 billion of debt and no debt maturities until 2029, inclusive of extension options.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Dividends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The Company’s Board of Trustees declared a quarterly cash dividend of $0.15 per common share of beneficial interest of the Company in the second quarter. The dividend was paid on July 15, 2026 to shareholders of record as of June 30, 2026.</w:t>
      </w:r>
    </w:p>
    <w:p>
      <w:pPr>
        <w:pStyle w:val="TextBody"/>
        <w:bidi w:val="0"/>
        <w:spacing w:before="0" w:after="0"/>
        <w:jc w:val="both"/>
        <w:rPr/>
      </w:pPr>
      <w:r>
        <w:rPr/>
        <w:drawing>
          <wp:inline distT="0" distB="0" distL="0" distR="0">
            <wp:extent cx="2619375" cy="4762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Board of Trustees declared a second quarter cash dividend of $0.4875 on the Company’s Series A Preferred Shares. The dividend was paid on July 31, 2026 to shareholders of record as of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2026 Outlook</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updating its full-year outlook to incorporate the strong second quarter outperformance and it's expectations that positive trends will continue through the second half of the year. </w:t>
      </w:r>
    </w:p>
    <w:p>
      <w:pPr>
        <w:pStyle w:val="TextBody"/>
        <w:bidi w:val="0"/>
        <w:spacing w:before="0" w:after="0"/>
        <w:jc w:val="left"/>
        <w:rPr/>
      </w:pPr>
      <w:r>
        <w:rPr/>
      </w:r>
    </w:p>
    <w:tbl>
      <w:tblPr>
        <w:tblW w:w="3673" w:type="dxa"/>
        <w:jc w:val="center"/>
        <w:tblInd w:w="0" w:type="dxa"/>
        <w:tblLayout w:type="fixed"/>
        <w:tblCellMar>
          <w:top w:w="28" w:type="dxa"/>
          <w:left w:w="28" w:type="dxa"/>
          <w:bottom w:w="28" w:type="dxa"/>
          <w:right w:w="28" w:type="dxa"/>
        </w:tblCellMar>
      </w:tblPr>
      <w:tblGrid>
        <w:gridCol w:w="825"/>
        <w:gridCol w:w="726"/>
        <w:gridCol w:w="728"/>
        <w:gridCol w:w="407"/>
        <w:gridCol w:w="407"/>
        <w:gridCol w:w="580"/>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162835"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0"/>
              </w:rPr>
            </w:pPr>
            <w:r>
              <w:rPr>
                <w:rFonts w:ascii="Times New Roman;serif" w:hAnsi="Times New Roman;serif"/>
                <w:b/>
                <w:color w:val="FFFFFF"/>
                <w:sz w:val="20"/>
              </w:rPr>
              <w:t>FY 2026</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RevPAR Growth</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 to +4.5%</w:t>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Hotel EBITDA</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$369M to $389M</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$336M to $356M</w:t>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FFO per diluted share</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$1.37 to $1.50</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Additionally, the Company's full year 2026 outlook includes: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interest expense in the range of $101.0 million to $103.0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corporate G&amp;A in the range of $33.5 million to $34.5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Capital expenditures related to renovations in the range of $80.0 million to $90.0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Diluted weighted average common shares and units of 151.5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Potential future acquisitions, dispositions, financings, or share repurchases are not incorporated into the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Company's outlook above and could result in a material change to the Company's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Earnings Call</w:t>
      </w:r>
    </w:p>
    <w:p>
      <w:pPr>
        <w:pStyle w:val="TextBody"/>
        <w:bidi w:val="0"/>
        <w:spacing w:lineRule="auto" w:line="288" w:before="0" w:after="0"/>
        <w:jc w:val="left"/>
        <w:rPr/>
      </w:pPr>
      <w:r>
        <w:rPr>
          <w:rFonts w:ascii="Times New Roman;serif" w:hAnsi="Times New Roman;serif"/>
          <w:b w:val="false"/>
          <w:color w:val="000000"/>
          <w:sz w:val="24"/>
        </w:rPr>
        <w:t xml:space="preserve">The Company will conduct its quarterly analyst and investor conference call on August 7, 2026 at 12:00 p.m. (Eastern Time). The conference call can be accessed by dialing (877) 407-3982 or (201) 493-6780 for international participants and requesting RLJ Lodging Trust’s second quarter earnings conference call. Additionally, a live webcast of the conference call will be available through the Company’s website at http://www.rljlodgingtrust.com. A replay of the conference call webcast will be archived and available through the </w:t>
      </w:r>
      <w:r>
        <w:rPr>
          <w:rFonts w:ascii="Times New Roman;serif" w:hAnsi="Times New Roman;serif"/>
          <w:b w:val="false"/>
          <w:i/>
          <w:color w:val="000000"/>
          <w:sz w:val="24"/>
        </w:rPr>
        <w:t>Investor Relations</w:t>
      </w:r>
      <w:r>
        <w:rPr>
          <w:color w:val="000000"/>
        </w:rPr>
        <w:t xml:space="preserve"> </w:t>
      </w:r>
      <w:r>
        <w:rPr>
          <w:rFonts w:ascii="Times New Roman;serif" w:hAnsi="Times New Roman;serif"/>
          <w:b w:val="false"/>
          <w:color w:val="000000"/>
          <w:sz w:val="24"/>
        </w:rPr>
        <w:t>section of the Company’s website for two weeks.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Supplemental Information</w:t>
      </w:r>
    </w:p>
    <w:p>
      <w:pPr>
        <w:pStyle w:val="TextBody"/>
        <w:bidi w:val="0"/>
        <w:spacing w:lineRule="auto" w:line="288" w:before="0" w:after="0"/>
        <w:jc w:val="left"/>
        <w:rPr/>
      </w:pPr>
      <w:r>
        <w:rPr>
          <w:rFonts w:ascii="Times New Roman;serif" w:hAnsi="Times New Roman;serif"/>
          <w:b w:val="false"/>
          <w:color w:val="000000"/>
          <w:sz w:val="24"/>
        </w:rPr>
        <w:t xml:space="preserve">Please refer to the presentation of supplemental information for additional detail and comparable operating statistics, which will be available through the </w:t>
      </w:r>
      <w:r>
        <w:rPr>
          <w:rFonts w:ascii="Times New Roman;serif" w:hAnsi="Times New Roman;serif"/>
          <w:b w:val="false"/>
          <w:i/>
          <w:color w:val="000000"/>
          <w:sz w:val="24"/>
        </w:rPr>
        <w:t>Investor Relations</w:t>
      </w:r>
      <w:r>
        <w:rPr>
          <w:color w:val="000000"/>
        </w:rPr>
        <w:t xml:space="preserve"> </w:t>
      </w:r>
      <w:r>
        <w:rPr>
          <w:rFonts w:ascii="Times New Roman;serif" w:hAnsi="Times New Roman;serif"/>
          <w:b w:val="false"/>
          <w:color w:val="000000"/>
          <w:sz w:val="24"/>
        </w:rPr>
        <w:t>section of the Company's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About Us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RLJ Lodging Trust ("RLJ") is a self-advised, publicly traded real estate investment trust that owns 91 premium-branded, rooms-oriented, high-margin, focused-service and compact full-service hotels located within the heart of demand locations. We own a geographically diversified portfolio of hotels located in urban markets that exhibit multiple demand generators and attractive long-term growth prospects.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lineRule="auto" w:line="256"/>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information contains certain statements, other than purely historical information, including estimates, projections, statements relating to the Company’s business plans, objectives and expected </w:t>
      </w:r>
    </w:p>
    <w:p>
      <w:pPr>
        <w:pStyle w:val="TextBody"/>
        <w:bidi w:val="0"/>
        <w:spacing w:before="0" w:after="0"/>
        <w:jc w:val="both"/>
        <w:rPr/>
      </w:pPr>
      <w:r>
        <w:rPr/>
        <w:drawing>
          <wp:inline distT="0" distB="0" distL="0" distR="0">
            <wp:extent cx="2619375" cy="4762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56" w:before="0" w:after="0"/>
        <w:jc w:val="both"/>
        <w:rPr>
          <w:rFonts w:ascii="Times New Roman;serif" w:hAnsi="Times New Roman;serif"/>
          <w:b w:val="false"/>
          <w:i/>
          <w:color w:val="000000"/>
          <w:sz w:val="24"/>
        </w:rPr>
      </w:pPr>
      <w:r>
        <w:rPr>
          <w:rFonts w:ascii="Times New Roman;serif" w:hAnsi="Times New Roman;serif"/>
          <w:b w:val="false"/>
          <w:i/>
          <w:color w:val="000000"/>
          <w:sz w:val="24"/>
        </w:rPr>
        <w:t>operating results, and the assumptions upon which those statements are based, that are “forward-looking statements” within the meaning of the Private Securities Litigation Reform Act of 1995, Section 27A of the Securities Act of 1933, as amended, and Section 21E of the Securities Exchange Act of 1934, as amended. These forward-looking statements generally are identified by the use of the words “believe,” “project,” “expect,” “anticipate,” “estimate,” “plan,” “may,” “will,” “will continue,” “intend,” “should,” or similar expressions. Although the Company believes that the expectations reflected in such forward-looking statements are based upon reasonable assumptions, beliefs and expectations, such forward-looking statements are not predictions of future events or guarantees of future performance and our actual results could differ materially from those set forth in the forward-looking statements. Except as required by law, the Company undertakes no obligation to update or revise publicly any forward-looking statements, whether as a result of new information, future events or otherwise. The Company cautions investors not to place undue reliance on these forward-looking statements and urges investors to carefully review the disclosures the Company makes concerning risks and uncertainties in the sections entitled “Risk Factors,” “Forward-Looking Statements,” and “Management’s Discussion and Analysis of Financial Condition and Results of Operations” in the Company’s Annual Report on Form 10-K for the year ended December 31, 2025 and the Company's Quarterly Report on Form 10-Q for the quarter ended June 30, 2026, which will be filed on August 7, 2026, as well as risks, uncertainties and other factors discussed in other documents filed by the Company with the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center"/>
        <w:rPr/>
      </w:pPr>
      <w:r>
        <w:rPr>
          <w:color w:val="000000"/>
        </w:rPr>
        <w:t> </w:t>
      </w:r>
      <w:r>
        <w:rPr>
          <w:rFonts w:ascii="Times New Roman;serif" w:hAnsi="Times New Roman;serif"/>
          <w:b/>
          <w:color w:val="000000"/>
          <w:sz w:val="24"/>
          <w:u w:val="single"/>
        </w:rPr>
        <w:t>Additional Contacts: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Leslie D. Hale, President and Chief Executive Officer – (301) 280-7777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Nikhil Bhalla, Chief Financial Officer – (301) 280-7777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For additional information or to receive press releases via email, please visit our website:</w:t>
      </w:r>
    </w:p>
    <w:p>
      <w:pPr>
        <w:pStyle w:val="TextBody"/>
        <w:bidi w:val="0"/>
        <w:spacing w:lineRule="auto" w:line="288" w:before="0" w:after="0"/>
        <w:jc w:val="center"/>
        <w:rPr/>
      </w:pPr>
      <w:r>
        <w:rPr>
          <w:color w:val="000000"/>
        </w:rPr>
        <w:t> </w:t>
      </w:r>
      <w:r>
        <w:rPr>
          <w:rFonts w:ascii="Times New Roman;serif" w:hAnsi="Times New Roman;serif"/>
          <w:b w:val="false"/>
          <w:i/>
          <w:color w:val="000000"/>
          <w:sz w:val="24"/>
        </w:rPr>
        <w:t>https://www.rljlodgingtrust.com</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drawing>
          <wp:inline distT="0" distB="0" distL="0" distR="0">
            <wp:extent cx="2619375" cy="4762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and Accounting Commentary</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Non-Generally Accepted Accounting Principles (“Non-GAAP”) Financial Measures</w:t>
      </w:r>
    </w:p>
    <w:p>
      <w:pPr>
        <w:pStyle w:val="TextBody"/>
        <w:bidi w:val="0"/>
        <w:spacing w:lineRule="auto" w:line="288" w:before="0" w:after="0"/>
        <w:jc w:val="left"/>
        <w:rPr/>
      </w:pPr>
      <w:r>
        <w:rPr>
          <w:rFonts w:ascii="Times New Roman;serif" w:hAnsi="Times New Roman;serif"/>
          <w:b w:val="false"/>
          <w:color w:val="000000"/>
          <w:sz w:val="24"/>
        </w:rPr>
        <w:t>The Company considers the following non-GAAP financial measures useful to investors as key supplemental measures of its performance: (1) FFO, (2) Adjusted FFO, (3) EBITDA, (4) EBITDA</w:t>
      </w:r>
      <w:r>
        <w:rPr>
          <w:rFonts w:ascii="Times New Roman;serif" w:hAnsi="Times New Roman;serif"/>
          <w:b w:val="false"/>
          <w:i/>
          <w:color w:val="000000"/>
          <w:sz w:val="24"/>
        </w:rPr>
        <w:t xml:space="preserve">re, </w:t>
      </w:r>
      <w:r>
        <w:rPr>
          <w:rFonts w:ascii="Times New Roman;serif" w:hAnsi="Times New Roman;serif"/>
          <w:b w:val="false"/>
          <w:color w:val="000000"/>
          <w:sz w:val="24"/>
        </w:rPr>
        <w:t>(5)</w:t>
      </w:r>
      <w:r>
        <w:rPr>
          <w:color w:val="000000"/>
        </w:rPr>
        <w:t xml:space="preserve"> </w:t>
      </w:r>
      <w:r>
        <w:rPr>
          <w:rFonts w:ascii="Times New Roman;serif" w:hAnsi="Times New Roman;serif"/>
          <w:b w:val="false"/>
          <w:color w:val="000000"/>
          <w:sz w:val="24"/>
        </w:rPr>
        <w:t>Adjusted EBITDA, (6) Hotel EBITDA, and (7) Hotel EBITDA Margin. These Non-GAAP financial measures should be considered along with, but not as alternatives to, net income or loss as a measure of its operating performance. FFO, Adjusted FFO, EBITDA, EBITDA</w:t>
      </w:r>
      <w:r>
        <w:rPr>
          <w:rFonts w:ascii="Times New Roman;serif" w:hAnsi="Times New Roman;serif"/>
          <w:b w:val="false"/>
          <w:i/>
          <w:color w:val="000000"/>
          <w:sz w:val="24"/>
        </w:rPr>
        <w:t>re</w:t>
      </w:r>
      <w:r>
        <w:rPr>
          <w:rFonts w:ascii="Times New Roman;serif" w:hAnsi="Times New Roman;serif"/>
          <w:b w:val="false"/>
          <w:color w:val="000000"/>
          <w:sz w:val="24"/>
        </w:rPr>
        <w:t>, Adjusted EBITDA, Hotel EBITDA, and Hotel EBITDA Margin, as calculated by the Company, may not be comparable to other companies that do not define such terms exactly as the Company defines such terms.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Funds From Operations (“FFO”)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calculates Funds from Operations (“FFO”) in accordance with standards established by the National Association of Real Estate Investment Trusts, or NAREIT, which defines FFO as net income or loss, excluding gains or losses from sales of real estate, impairment, the cumulative effect of changes in accounting principles, plus depreciation and amortization, and adjustments for unconsolidated partnerships and joint ventures. Historical cost accounting for real estate assets implicitly assumes that the value of real estate assets diminishes predictably over time. Since real estate values have instead historically risen or fallen with market conditions, most real estate industry investors consider FFO to be helpful in evaluating a real estate company’s operations. The Company believes that the presentation of FFO provides useful information to investors regarding the Company’s operating performance and can facilitate comparisons of operating performance between periods and between real estate investment trusts (“REITs”), even though FFO does not represent an amount that accrues directly to common shareholders.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calculation of FFO may not be comparable to measures calculated by other companies who do not use the NAREIT definition of FFO or do not calculate FFO per diluted share in accordance with NAREIT guidance. Additionally, FFO may not be helpful when comparing the Company to non-REITs. The Company presents FFO attributable to common shareholders, which includes unitholders of limited partnership interest (“OP units”) in RLJ Lodging Trust, L.P., the Company’s operating partnership, because the OP units may be redeemed for common shares of the Company. The Company believes it is meaningful for the investor to understand FFO attributable to all common shares and OP 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4"/>
          <w:u w:val="single"/>
        </w:rPr>
        <w:t>EBITDA and EBITDA</w:t>
      </w:r>
      <w:r>
        <w:rPr>
          <w:rFonts w:ascii="Times New Roman;serif" w:hAnsi="Times New Roman;serif"/>
          <w:b/>
          <w:i/>
          <w:color w:val="000000"/>
          <w:sz w:val="24"/>
          <w:u w:val="single"/>
        </w:rPr>
        <w:t>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Earnings Before Interest, Taxes, Depreciation, and Amortization (“EBITDA”) is defined as net income or loss excluding: (1) interest expense; (2) income tax expense; and (3) depreciation and amortization expense. The Company considers EBITDA useful to an investor in evaluating and facilitating comparisons of its operating performance between periods and between REITs by removing the impact of its capital structure (primarily interest expense) and asset base (primarily depreciation and amortization expense) from its operating results. In addition, EBITDA is used as one measure in determining the value of hotel acquisitions and dispositions.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In addition to EBITDA, the Company presents EBITDA</w:t>
      </w:r>
      <w:r>
        <w:rPr>
          <w:rFonts w:ascii="Times New Roman;serif" w:hAnsi="Times New Roman;serif"/>
          <w:b w:val="false"/>
          <w:i/>
          <w:color w:val="000000"/>
          <w:sz w:val="24"/>
        </w:rPr>
        <w:t>re</w:t>
      </w:r>
      <w:r>
        <w:rPr>
          <w:color w:val="000000"/>
        </w:rPr>
        <w:t xml:space="preserve"> </w:t>
      </w:r>
      <w:r>
        <w:rPr>
          <w:rFonts w:ascii="Times New Roman;serif" w:hAnsi="Times New Roman;serif"/>
          <w:b w:val="false"/>
          <w:color w:val="000000"/>
          <w:sz w:val="24"/>
        </w:rPr>
        <w:t>in accordance with NAREIT guidelines, which defines EBITDA</w:t>
      </w:r>
      <w:r>
        <w:rPr>
          <w:rFonts w:ascii="Times New Roman;serif" w:hAnsi="Times New Roman;serif"/>
          <w:b w:val="false"/>
          <w:i/>
          <w:color w:val="000000"/>
          <w:sz w:val="24"/>
        </w:rPr>
        <w:t xml:space="preserve">re </w:t>
      </w:r>
      <w:r>
        <w:rPr>
          <w:rFonts w:ascii="Times New Roman;serif" w:hAnsi="Times New Roman;serif"/>
          <w:b w:val="false"/>
          <w:color w:val="000000"/>
          <w:sz w:val="24"/>
        </w:rPr>
        <w:t>as net income or loss excluding interest expense, income tax expense, depreciation and amortization expense, gains or losses from sales of real estate, impairment, and adjustments for unconsolidated joint ventures. The Company believes that the presentation of EBITDA</w:t>
      </w:r>
      <w:r>
        <w:rPr>
          <w:rFonts w:ascii="Times New Roman;serif" w:hAnsi="Times New Roman;serif"/>
          <w:b w:val="false"/>
          <w:i/>
          <w:color w:val="000000"/>
          <w:sz w:val="24"/>
        </w:rPr>
        <w:t>re</w:t>
      </w:r>
      <w:r>
        <w:rPr>
          <w:color w:val="000000"/>
        </w:rPr>
        <w:t xml:space="preserve"> </w:t>
      </w:r>
      <w:r>
        <w:rPr>
          <w:rFonts w:ascii="Times New Roman;serif" w:hAnsi="Times New Roman;serif"/>
          <w:b w:val="false"/>
          <w:color w:val="000000"/>
          <w:sz w:val="24"/>
        </w:rPr>
        <w:t xml:space="preserve">provides useful </w:t>
      </w:r>
    </w:p>
    <w:p>
      <w:pPr>
        <w:pStyle w:val="TextBody"/>
        <w:bidi w:val="0"/>
        <w:spacing w:before="0" w:after="0"/>
        <w:jc w:val="both"/>
        <w:rPr/>
      </w:pPr>
      <w:r>
        <w:rPr/>
        <w:drawing>
          <wp:inline distT="0" distB="0" distL="0" distR="0">
            <wp:extent cx="2619375" cy="4762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to investors regarding the Company's operating performance and can facilitate comparisons of operating performance between periods and between REITs.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Adjustments to FFO and EBITDA</w:t>
      </w:r>
    </w:p>
    <w:p>
      <w:pPr>
        <w:pStyle w:val="TextBody"/>
        <w:bidi w:val="0"/>
        <w:spacing w:lineRule="auto" w:line="288" w:before="0" w:after="0"/>
        <w:jc w:val="left"/>
        <w:rPr/>
      </w:pPr>
      <w:r>
        <w:rPr>
          <w:rFonts w:ascii="Times New Roman;serif" w:hAnsi="Times New Roman;serif"/>
          <w:b w:val="false"/>
          <w:color w:val="000000"/>
          <w:sz w:val="24"/>
        </w:rPr>
        <w:t>The Company adjusts FFO, EBITDA, and EBITDA</w:t>
      </w:r>
      <w:r>
        <w:rPr>
          <w:rFonts w:ascii="Times New Roman;serif" w:hAnsi="Times New Roman;serif"/>
          <w:b w:val="false"/>
          <w:i/>
          <w:color w:val="000000"/>
          <w:sz w:val="24"/>
        </w:rPr>
        <w:t>re</w:t>
      </w:r>
      <w:r>
        <w:rPr>
          <w:color w:val="000000"/>
        </w:rPr>
        <w:t xml:space="preserve"> </w:t>
      </w:r>
      <w:r>
        <w:rPr>
          <w:rFonts w:ascii="Times New Roman;serif" w:hAnsi="Times New Roman;serif"/>
          <w:b w:val="false"/>
          <w:color w:val="000000"/>
          <w:sz w:val="24"/>
        </w:rPr>
        <w:t>for certain items that the Company considers outside the normal course of operations. The Company believes that Adjusted FFO, Adjusted EBITDA, and Adjusted EBITDA</w:t>
      </w:r>
      <w:r>
        <w:rPr>
          <w:rFonts w:ascii="Times New Roman;serif" w:hAnsi="Times New Roman;serif"/>
          <w:b w:val="false"/>
          <w:i/>
          <w:color w:val="000000"/>
          <w:sz w:val="24"/>
        </w:rPr>
        <w:t>re</w:t>
      </w:r>
      <w:r>
        <w:rPr>
          <w:color w:val="000000"/>
        </w:rPr>
        <w:t xml:space="preserve"> </w:t>
      </w:r>
      <w:r>
        <w:rPr>
          <w:rFonts w:ascii="Times New Roman;serif" w:hAnsi="Times New Roman;serif"/>
          <w:b w:val="false"/>
          <w:color w:val="000000"/>
          <w:sz w:val="24"/>
        </w:rPr>
        <w:t>provide useful supplemental information to investors regarding its ongoing operating performance that, when considered with net income or loss, FFO, EBITDA, and EBITDA</w:t>
      </w:r>
      <w:r>
        <w:rPr>
          <w:rFonts w:ascii="Times New Roman;serif" w:hAnsi="Times New Roman;serif"/>
          <w:b w:val="false"/>
          <w:i/>
          <w:color w:val="000000"/>
          <w:sz w:val="24"/>
        </w:rPr>
        <w:t>re</w:t>
      </w:r>
      <w:r>
        <w:rPr>
          <w:rFonts w:ascii="Times New Roman;serif" w:hAnsi="Times New Roman;serif"/>
          <w:b w:val="false"/>
          <w:color w:val="000000"/>
          <w:sz w:val="24"/>
        </w:rPr>
        <w:t>, are beneficial to an investor’s understanding of the Company's operating performance. The Company adjusts FFO, EBITDA, and EBITDA</w:t>
      </w:r>
      <w:r>
        <w:rPr>
          <w:rFonts w:ascii="Times New Roman;serif" w:hAnsi="Times New Roman;serif"/>
          <w:b w:val="false"/>
          <w:i/>
          <w:color w:val="000000"/>
          <w:sz w:val="24"/>
        </w:rPr>
        <w:t>re</w:t>
      </w:r>
      <w:r>
        <w:rPr>
          <w:color w:val="000000"/>
        </w:rPr>
        <w:t xml:space="preserve"> </w:t>
      </w:r>
      <w:r>
        <w:rPr>
          <w:rFonts w:ascii="Times New Roman;serif" w:hAnsi="Times New Roman;serif"/>
          <w:b w:val="false"/>
          <w:color w:val="000000"/>
          <w:sz w:val="24"/>
        </w:rPr>
        <w:t>for the following items: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Transaction Costs:</w:t>
      </w:r>
      <w:r>
        <w:rPr>
          <w:color w:val="000000"/>
        </w:rPr>
        <w:t xml:space="preserve"> </w:t>
      </w:r>
      <w:r>
        <w:rPr>
          <w:rFonts w:ascii="Times New Roman;serif" w:hAnsi="Times New Roman;serif"/>
          <w:b w:val="false"/>
          <w:color w:val="000000"/>
          <w:sz w:val="24"/>
        </w:rPr>
        <w:t>The Company excludes transaction costs expensed during the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Pre-Opening Costs:</w:t>
      </w:r>
      <w:r>
        <w:rPr>
          <w:color w:val="000000"/>
        </w:rPr>
        <w:t xml:space="preserve"> </w:t>
      </w:r>
      <w:r>
        <w:rPr>
          <w:rFonts w:ascii="Times New Roman;serif" w:hAnsi="Times New Roman;serif"/>
          <w:b w:val="false"/>
          <w:color w:val="000000"/>
          <w:sz w:val="24"/>
        </w:rPr>
        <w:t>The Company excludes certain costs related to pre-opening of hotels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Non-Cash Expenses:</w:t>
      </w:r>
      <w:r>
        <w:rPr>
          <w:color w:val="000000"/>
        </w:rPr>
        <w:t xml:space="preserve"> </w:t>
      </w:r>
      <w:r>
        <w:rPr>
          <w:rFonts w:ascii="Times New Roman;serif" w:hAnsi="Times New Roman;serif"/>
          <w:b w:val="false"/>
          <w:color w:val="000000"/>
          <w:sz w:val="24"/>
        </w:rPr>
        <w:t>The Company excludes the effect of certain non-cash items such as the amortization of share-based compensation, non-cash income tax expense or benefit, and non-cash interest expense related to discontinued interest rate hedges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Other Non-Operational Expenses:</w:t>
      </w:r>
      <w:r>
        <w:rPr>
          <w:color w:val="000000"/>
        </w:rPr>
        <w:t xml:space="preserve"> </w:t>
      </w:r>
      <w:r>
        <w:rPr>
          <w:rFonts w:ascii="Times New Roman;serif" w:hAnsi="Times New Roman;serif"/>
          <w:b w:val="false"/>
          <w:color w:val="000000"/>
          <w:sz w:val="24"/>
        </w:rPr>
        <w:t>The Company excludes the effect of certain non-operational expenses representing income and expenses outside the normal course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Hotel EBITDA and Hotel EBITDA Margin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respect to Comparable Hotel EBITDA, the Company believes that excluding the effect of corporate-level expenses and certain non-cash items provides a more complete understanding of the operating results over which individual hotels and operators have direct control. The Company believes property-level results provide investors with supplemental information about the ongoing operational performance of the Company’s hotels and the effectiveness of third-party management companies.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Comparable Hotel EBITDA and Comparable Hotel EBITDA Margin include prior ownership information provided by the sellers of the hotels for periods prior to our acquisition of the hotels and excludes results from sold hotels as applicable.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Comparable adjustments: Sold hotels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the three and six months ended June 30, 2026 and 2025, Comparable adjustments included the following sold hotels: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Courtyard Atlanta Buckhead sold in March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Embassy Suites by Hilton Dallas-Love Field sold in December 2025</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4"/>
        </w:rPr>
        <w:t>Residence Inn Houston by the Galleria sold in December 2025</w:t>
      </w:r>
    </w:p>
    <w:p>
      <w:pPr>
        <w:pStyle w:val="TextBody"/>
        <w:bidi w:val="0"/>
        <w:spacing w:lineRule="auto" w:line="288"/>
        <w:ind w:left="0" w:right="0" w:firstLine="360"/>
        <w:jc w:val="left"/>
        <w:rPr/>
      </w:pPr>
      <w:r>
        <w:rPr>
          <w:color w:val="000000"/>
        </w:rPr>
        <w:t>•</w:t>
      </w:r>
      <w:r>
        <w:rPr>
          <w:rFonts w:ascii="Times New Roman;serif" w:hAnsi="Times New Roman;serif"/>
          <w:b w:val="false"/>
          <w:color w:val="000000"/>
          <w:sz w:val="24"/>
        </w:rPr>
        <w:t>Hyatt Place Fremont/Silicon Valley sold in June 2026</w:t>
      </w:r>
    </w:p>
    <w:p>
      <w:pPr>
        <w:pStyle w:val="TextBody"/>
        <w:bidi w:val="0"/>
        <w:spacing w:before="0" w:after="0"/>
        <w:jc w:val="both"/>
        <w:rPr/>
      </w:pPr>
      <w:r>
        <w:rPr/>
        <w:drawing>
          <wp:inline distT="0" distB="0" distL="0" distR="0">
            <wp:extent cx="2619375" cy="4762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7"/>
        <w:gridCol w:w="2280"/>
        <w:gridCol w:w="2299"/>
        <w:gridCol w:w="196"/>
        <w:gridCol w:w="871"/>
        <w:gridCol w:w="109"/>
        <w:gridCol w:w="109"/>
        <w:gridCol w:w="109"/>
        <w:gridCol w:w="109"/>
        <w:gridCol w:w="219"/>
        <w:gridCol w:w="973"/>
        <w:gridCol w:w="174"/>
      </w:tblGrid>
      <w:tr>
        <w:trPr/>
        <w:tc>
          <w:tcPr>
            <w:tcW w:w="275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336"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June 30, 2026</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December 31, 2025</w:t>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hotel properties,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4,112,387 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joint ventures</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7,494 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7,357 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reserves</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35,768 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31,901 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Hotel and other receivables, net of allowance of $96 and $170,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122,785 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123,524 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5,233,686 </w:t>
            </w:r>
          </w:p>
        </w:tc>
        <w:tc>
          <w:tcPr>
            <w:tcW w:w="109"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4,742,130 </w:t>
            </w:r>
          </w:p>
        </w:tc>
        <w:tc>
          <w:tcPr>
            <w:tcW w:w="174"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net</w:t>
            </w:r>
          </w:p>
        </w:tc>
        <w:tc>
          <w:tcPr>
            <w:tcW w:w="196"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2,695,154 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2,197,218 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 deposits and deferred revenue</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46,400 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51,029 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20,532 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67"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3,068,759 </w:t>
            </w:r>
          </w:p>
        </w:tc>
        <w:tc>
          <w:tcPr>
            <w:tcW w:w="109"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2,559,470 </w:t>
            </w:r>
          </w:p>
        </w:tc>
        <w:tc>
          <w:tcPr>
            <w:tcW w:w="174"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shares of beneficial interest, $0.01 par value, 50,000,000 shares authorized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A Cumulative Convertible Preferred Shares, $0.01 par value, 12,950,000 shares authorized; 12,879,475 shares issued and outstanding, liquidation value of $328,266, at June 30, 2026 and December 31, 2025</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366,936 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366,936 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shares of beneficial interest, $0.01 par value, 450,000,000 shares authorized; 152,375,872 and 151,085,078 shares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2,982,795 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2,977,616 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in excess of net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(1,178,456)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2,169,526 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7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the Operating Partnership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consolidated joint ventures</w:t>
            </w:r>
          </w:p>
        </w:tc>
        <w:tc>
          <w:tcPr>
            <w:tcW w:w="1067"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7,438 </w:t>
            </w:r>
          </w:p>
        </w:tc>
        <w:tc>
          <w:tcPr>
            <w:tcW w:w="17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noncontrolling interest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1067"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2,164,927 </w:t>
            </w:r>
          </w:p>
        </w:tc>
        <w:tc>
          <w:tcPr>
            <w:tcW w:w="109"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2,182,660 </w:t>
            </w:r>
          </w:p>
        </w:tc>
        <w:tc>
          <w:tcPr>
            <w:tcW w:w="174"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4,742,130 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6"/>
        </w:rPr>
        <w:t xml:space="preserve">Note: </w:t>
      </w:r>
      <w:r>
        <w:rPr>
          <w:rFonts w:ascii="Times New Roman;serif" w:hAnsi="Times New Roman;serif"/>
          <w:b w:val="false"/>
          <w:color w:val="000000"/>
          <w:sz w:val="16"/>
        </w:rPr>
        <w:t>The corresponding notes to the consolidated financial statements can be found in the Company’s Quarterly Report on Form 10-Q.</w:t>
      </w:r>
    </w:p>
    <w:p>
      <w:pPr>
        <w:pStyle w:val="TextBody"/>
        <w:bidi w:val="0"/>
        <w:jc w:val="center"/>
        <w:rPr/>
      </w:pPr>
      <w:r>
        <w:rPr/>
      </w:r>
    </w:p>
    <w:p>
      <w:pPr>
        <w:pStyle w:val="TextBody"/>
        <w:bidi w:val="0"/>
        <w:spacing w:before="0" w:after="0"/>
        <w:jc w:val="both"/>
        <w:rPr/>
      </w:pPr>
      <w:r>
        <w:rPr/>
        <w:drawing>
          <wp:inline distT="0" distB="0" distL="0" distR="0">
            <wp:extent cx="2619375" cy="4762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6"/>
        <w:gridCol w:w="1382"/>
        <w:gridCol w:w="1385"/>
        <w:gridCol w:w="224"/>
        <w:gridCol w:w="839"/>
        <w:gridCol w:w="120"/>
        <w:gridCol w:w="120"/>
        <w:gridCol w:w="120"/>
        <w:gridCol w:w="120"/>
        <w:gridCol w:w="224"/>
        <w:gridCol w:w="839"/>
        <w:gridCol w:w="120"/>
        <w:gridCol w:w="109"/>
        <w:gridCol w:w="109"/>
        <w:gridCol w:w="109"/>
        <w:gridCol w:w="221"/>
        <w:gridCol w:w="830"/>
        <w:gridCol w:w="114"/>
        <w:gridCol w:w="114"/>
        <w:gridCol w:w="114"/>
        <w:gridCol w:w="114"/>
        <w:gridCol w:w="221"/>
        <w:gridCol w:w="830"/>
        <w:gridCol w:w="171"/>
      </w:tblGrid>
      <w:tr>
        <w:trPr/>
        <w:tc>
          <w:tcPr>
            <w:tcW w:w="16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three months ended June 30,</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six months ended June 30,</w:t>
            </w:r>
          </w:p>
        </w:tc>
      </w:tr>
      <w:tr>
        <w:trPr/>
        <w:tc>
          <w:tcPr>
            <w:tcW w:w="4423"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60"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42"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Room revenue</w:t>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311,760 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296,101 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587,017 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563,755 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 and beverage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27,493 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25,068 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52,496 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48,020 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382,988 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722,965 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691,222 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83" w:type="dxa"/>
            <w:gridSpan w:val="3"/>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Room expense</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77,931 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74,565 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150,663 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145,416 </w:t>
            </w:r>
          </w:p>
        </w:tc>
        <w:tc>
          <w:tcPr>
            <w:tcW w:w="171" w:type="dxa"/>
            <w:tcBorders/>
            <w:shd w:fill="EEEEEE"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 and beverage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franchise fee expense</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29,321 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28,393 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54,395 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53,595 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operating expenses</w:t>
            </w:r>
          </w:p>
        </w:tc>
        <w:tc>
          <w:tcPr>
            <w:tcW w:w="1063"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239,072 </w:t>
            </w:r>
          </w:p>
        </w:tc>
        <w:tc>
          <w:tcPr>
            <w:tcW w:w="12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226,120 </w:t>
            </w:r>
          </w:p>
        </w:tc>
        <w:tc>
          <w:tcPr>
            <w:tcW w:w="12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464,066 </w:t>
            </w:r>
          </w:p>
        </w:tc>
        <w:tc>
          <w:tcPr>
            <w:tcW w:w="114"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443,173 </w:t>
            </w:r>
          </w:p>
        </w:tc>
        <w:tc>
          <w:tcPr>
            <w:tcW w:w="171"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tax, insurance and other</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26,784 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53,756 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53,693 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310,167 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063"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2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2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14"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71"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(28,116)</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(27,876)</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(55,793)</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(55,428)</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hotel properties,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indebtedness, net</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equity in income (loss) from unconsolidated joint ventures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(loss) from unconsolidated joint ventures</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w:t>
            </w:r>
          </w:p>
        </w:tc>
        <w:tc>
          <w:tcPr>
            <w:tcW w:w="11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the Operating Partnership</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consolidated joint ventures</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RLJ</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Basic per common share data:</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attributable to common shareholders</w:t>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number of common shares</w:t>
            </w:r>
          </w:p>
        </w:tc>
        <w:tc>
          <w:tcPr>
            <w:tcW w:w="10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149,883,674 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149,532,971 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149,605,007 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150,217,440 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Diluted per common share data:</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attributable to common shareholders</w:t>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2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71"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number of common shares</w:t>
            </w:r>
          </w:p>
        </w:tc>
        <w:tc>
          <w:tcPr>
            <w:tcW w:w="10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150,928,683 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149,598,953 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150,382,279 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150,355,083 </w:t>
            </w:r>
          </w:p>
        </w:tc>
        <w:tc>
          <w:tcPr>
            <w:tcW w:w="1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Times New Roman;serif" w:hAnsi="Times New Roman;serif"/>
          <w:b/>
          <w:color w:val="000000"/>
          <w:sz w:val="16"/>
        </w:rPr>
        <w:t xml:space="preserve">Note: </w:t>
      </w:r>
      <w:r>
        <w:rPr>
          <w:rFonts w:ascii="Times New Roman;serif" w:hAnsi="Times New Roman;serif"/>
          <w:b w:val="false"/>
          <w:color w:val="000000"/>
          <w:sz w:val="16"/>
        </w:rPr>
        <w:t>The Statements of Comprehensive Income and corresponding notes to the consolidated financial statements can be found in the Company’s Quarterly Report on Form 10-Q.</w:t>
      </w:r>
    </w:p>
    <w:p>
      <w:pPr>
        <w:pStyle w:val="TextBody"/>
        <w:bidi w:val="0"/>
        <w:spacing w:before="0" w:after="0"/>
        <w:jc w:val="both"/>
        <w:rPr/>
      </w:pPr>
      <w:r>
        <w:rPr/>
        <w:drawing>
          <wp:inline distT="0" distB="0" distL="0" distR="0">
            <wp:extent cx="2619375" cy="4762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Non-GAAP Measures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 except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Funds from Operations (FFO) Attributable to Common Shareholders and Unitholders</w:t>
      </w:r>
    </w:p>
    <w:tbl>
      <w:tblPr>
        <w:tblW w:w="10205" w:type="dxa"/>
        <w:jc w:val="center"/>
        <w:tblInd w:w="0" w:type="dxa"/>
        <w:tblLayout w:type="fixed"/>
        <w:tblCellMar>
          <w:top w:w="28" w:type="dxa"/>
          <w:left w:w="28" w:type="dxa"/>
          <w:bottom w:w="28" w:type="dxa"/>
          <w:right w:w="28" w:type="dxa"/>
        </w:tblCellMar>
      </w:tblPr>
      <w:tblGrid>
        <w:gridCol w:w="1684"/>
        <w:gridCol w:w="1437"/>
        <w:gridCol w:w="1438"/>
        <w:gridCol w:w="234"/>
        <w:gridCol w:w="792"/>
        <w:gridCol w:w="130"/>
        <w:gridCol w:w="130"/>
        <w:gridCol w:w="130"/>
        <w:gridCol w:w="130"/>
        <w:gridCol w:w="234"/>
        <w:gridCol w:w="792"/>
        <w:gridCol w:w="130"/>
        <w:gridCol w:w="109"/>
        <w:gridCol w:w="109"/>
        <w:gridCol w:w="109"/>
        <w:gridCol w:w="205"/>
        <w:gridCol w:w="788"/>
        <w:gridCol w:w="114"/>
        <w:gridCol w:w="114"/>
        <w:gridCol w:w="114"/>
        <w:gridCol w:w="114"/>
        <w:gridCol w:w="205"/>
        <w:gridCol w:w="788"/>
        <w:gridCol w:w="175"/>
      </w:tblGrid>
      <w:tr>
        <w:trPr/>
        <w:tc>
          <w:tcPr>
            <w:tcW w:w="168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three months ended June 30,</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six months ended June 30,</w:t>
            </w:r>
          </w:p>
        </w:tc>
      </w:tr>
      <w:tr>
        <w:trPr/>
        <w:tc>
          <w:tcPr>
            <w:tcW w:w="4559"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90"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42"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3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31,328 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28,631 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30,979 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31,803 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47,496 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46,363 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94,691 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92,151 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hotel properties,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consolidated joint ventures</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related to consolidated joint venture (1)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related to unconsolidated joint venture (2)</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FFO</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72,672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69,216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110,945</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costs (3)</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indebtedness, net</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income tax benefit</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related to discontinued interest rate hedges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 (4)</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FFO</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78,527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72,658</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128,047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119,579</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FFO per common share and unit-basic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0.79</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FFO per common share and unit-diluted</w:t>
            </w:r>
          </w:p>
        </w:tc>
        <w:tc>
          <w:tcPr>
            <w:tcW w:w="23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0.52</w:t>
            </w:r>
            <w:r>
              <w:rPr>
                <w:color w:val="000000"/>
              </w:rPr>
              <w:t>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0.48</w:t>
            </w:r>
            <w:r>
              <w:rPr>
                <w:color w:val="000000"/>
              </w:rPr>
              <w:t>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0.85</w:t>
            </w:r>
            <w:r>
              <w:rPr>
                <w:color w:val="000000"/>
              </w:rPr>
              <w:t>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0.79</w:t>
            </w:r>
            <w:r>
              <w:rPr>
                <w:color w:val="000000"/>
              </w:rPr>
              <w:t>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weighted-average common shares and units outstanding (5)</w:t>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150,655 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150,305 </w:t>
            </w:r>
          </w:p>
        </w:tc>
        <w:tc>
          <w:tcPr>
            <w:tcW w:w="13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150,376 </w:t>
            </w:r>
          </w:p>
        </w:tc>
        <w:tc>
          <w:tcPr>
            <w:tcW w:w="114"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150,989 </w:t>
            </w:r>
          </w:p>
        </w:tc>
        <w:tc>
          <w:tcPr>
            <w:tcW w:w="17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weighted-average common shares and units outstanding (5)</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Notes:</w:t>
      </w:r>
    </w:p>
    <w:p>
      <w:pPr>
        <w:pStyle w:val="TextBody"/>
        <w:bidi w:val="0"/>
        <w:spacing w:lineRule="auto" w:line="288" w:before="0" w:after="0"/>
        <w:ind w:left="0" w:right="0" w:hanging="54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(1)Includes depreciation and amortization expense allocated to the noncontrolling interest in the consolidated joint venture.</w:t>
      </w:r>
    </w:p>
    <w:p>
      <w:pPr>
        <w:pStyle w:val="TextBody"/>
        <w:bidi w:val="0"/>
        <w:spacing w:lineRule="auto" w:line="288" w:before="0" w:after="0"/>
        <w:ind w:left="0" w:right="0" w:hanging="54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(2)Includes our ownership interest in the depreciation and amortization expense of the unconsolidated joint venture.</w:t>
      </w:r>
    </w:p>
    <w:p>
      <w:pPr>
        <w:pStyle w:val="TextBody"/>
        <w:bidi w:val="0"/>
        <w:spacing w:lineRule="auto" w:line="288" w:before="0" w:after="0"/>
        <w:ind w:left="0" w:right="0" w:hanging="54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(3)Represents expenses related to the brand conversions of certain hotel properties prior to opening. </w:t>
      </w:r>
    </w:p>
    <w:p>
      <w:pPr>
        <w:pStyle w:val="TextBody"/>
        <w:bidi w:val="0"/>
        <w:spacing w:lineRule="auto" w:line="288" w:before="0" w:after="0"/>
        <w:ind w:left="0" w:right="0" w:hanging="540"/>
        <w:jc w:val="left"/>
        <w:rPr/>
      </w:pPr>
      <w:r>
        <w:rPr>
          <w:rFonts w:ascii="Times New Roman;serif" w:hAnsi="Times New Roman;serif"/>
          <w:b w:val="false"/>
          <w:color w:val="000000"/>
          <w:sz w:val="16"/>
          <w:shd w:fill="FFFFFF" w:val="clear"/>
        </w:rPr>
        <w:t>(4)</w:t>
      </w:r>
      <w:r>
        <w:rPr>
          <w:rFonts w:ascii="Times New Roman;serif" w:hAnsi="Times New Roman;serif"/>
          <w:b w:val="false"/>
          <w:color w:val="000000"/>
          <w:sz w:val="16"/>
        </w:rPr>
        <w:t>Represents expenses and income outside of the normal course of operations.</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(5)Includes 0.8 million weighted-average operating partnership units for the three and six months ended June 30, 2026 and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drawing>
          <wp:inline distT="0" distB="0" distL="0" distR="0">
            <wp:extent cx="2619375" cy="4762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Non-GAAP Measures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Before Interest, Taxes, Depreciation and Amortization (EBITDA)</w:t>
      </w:r>
    </w:p>
    <w:tbl>
      <w:tblPr>
        <w:tblW w:w="9651" w:type="dxa"/>
        <w:jc w:val="center"/>
        <w:tblInd w:w="0" w:type="dxa"/>
        <w:tblLayout w:type="fixed"/>
        <w:tblCellMar>
          <w:top w:w="28" w:type="dxa"/>
          <w:left w:w="28" w:type="dxa"/>
          <w:bottom w:w="28" w:type="dxa"/>
          <w:right w:w="28" w:type="dxa"/>
        </w:tblCellMar>
      </w:tblPr>
      <w:tblGrid>
        <w:gridCol w:w="1423"/>
        <w:gridCol w:w="1255"/>
        <w:gridCol w:w="1267"/>
        <w:gridCol w:w="221"/>
        <w:gridCol w:w="850"/>
        <w:gridCol w:w="123"/>
        <w:gridCol w:w="123"/>
        <w:gridCol w:w="123"/>
        <w:gridCol w:w="123"/>
        <w:gridCol w:w="221"/>
        <w:gridCol w:w="850"/>
        <w:gridCol w:w="123"/>
        <w:gridCol w:w="109"/>
        <w:gridCol w:w="109"/>
        <w:gridCol w:w="109"/>
        <w:gridCol w:w="207"/>
        <w:gridCol w:w="793"/>
        <w:gridCol w:w="115"/>
        <w:gridCol w:w="115"/>
        <w:gridCol w:w="115"/>
        <w:gridCol w:w="115"/>
        <w:gridCol w:w="207"/>
        <w:gridCol w:w="793"/>
        <w:gridCol w:w="162"/>
      </w:tblGrid>
      <w:tr>
        <w:trPr/>
        <w:tc>
          <w:tcPr>
            <w:tcW w:w="142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three months ended June 30,</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six months ended June 30,</w:t>
            </w:r>
          </w:p>
        </w:tc>
      </w:tr>
      <w:tr>
        <w:trPr/>
        <w:tc>
          <w:tcPr>
            <w:tcW w:w="3945"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69"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45"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31,328 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28,631 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30,979 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31,803 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interest income</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24,851 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24,515 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49,590 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48,812 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related to unconsolidated joint venture (1)</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EBITDA </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104,326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100,332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176,595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174,199</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hotel properties, net</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EBITDA</w:t>
            </w:r>
            <w:r>
              <w:rPr>
                <w:rFonts w:ascii="Times New Roman;serif" w:hAnsi="Times New Roman;serif"/>
                <w:b/>
                <w:i/>
                <w:color w:val="000000"/>
                <w:sz w:val="16"/>
              </w:rPr>
              <w:t>re</w:t>
            </w:r>
            <w:r>
              <w:rPr>
                <w:color w:val="000000"/>
              </w:rPr>
              <w:t xml:space="preserve"> </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104,442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100,710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180,358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173,256</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costs (2)</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indebtedness, net</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 (3)</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110,393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104,008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191,266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181,602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(4)</w:t>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8,001 </w:t>
            </w:r>
          </w:p>
        </w:tc>
        <w:tc>
          <w:tcPr>
            <w:tcW w:w="12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17,489 </w:t>
            </w:r>
          </w:p>
        </w:tc>
        <w:tc>
          <w:tcPr>
            <w:tcW w:w="1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16,055 </w:t>
            </w:r>
          </w:p>
        </w:tc>
        <w:tc>
          <w:tcPr>
            <w:tcW w:w="16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corporate adjustments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Hotel EBITDA</w:t>
            </w:r>
          </w:p>
        </w:tc>
        <w:tc>
          <w:tcPr>
            <w:tcW w:w="107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119,617</w:t>
            </w:r>
            <w:r>
              <w:rPr>
                <w:color w:val="000000"/>
              </w:rPr>
              <w:t> </w:t>
            </w:r>
          </w:p>
        </w:tc>
        <w:tc>
          <w:tcPr>
            <w:tcW w:w="123"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113,388</w:t>
            </w:r>
            <w:r>
              <w:rPr>
                <w:color w:val="000000"/>
              </w:rPr>
              <w:t> </w:t>
            </w:r>
          </w:p>
        </w:tc>
        <w:tc>
          <w:tcPr>
            <w:tcW w:w="123"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209,540</w:t>
            </w:r>
            <w:r>
              <w:rPr>
                <w:color w:val="000000"/>
              </w:rPr>
              <w:t> </w:t>
            </w:r>
          </w:p>
        </w:tc>
        <w:tc>
          <w:tcPr>
            <w:tcW w:w="115"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199,299</w:t>
            </w:r>
            <w:r>
              <w:rPr>
                <w:color w:val="000000"/>
              </w:rPr>
              <w:t> </w:t>
            </w:r>
          </w:p>
        </w:tc>
        <w:tc>
          <w:tcPr>
            <w:tcW w:w="162"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adjustments - income from sold hotels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Comparable Hotel EBITDA</w:t>
            </w:r>
          </w:p>
        </w:tc>
        <w:tc>
          <w:tcPr>
            <w:tcW w:w="221"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0"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119,514</w:t>
            </w:r>
            <w:r>
              <w:rPr>
                <w:color w:val="000000"/>
              </w:rPr>
              <w:t> </w:t>
            </w:r>
          </w:p>
        </w:tc>
        <w:tc>
          <w:tcPr>
            <w:tcW w:w="123"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0"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111,544</w:t>
            </w:r>
            <w:r>
              <w:rPr>
                <w:color w:val="000000"/>
              </w:rPr>
              <w:t> </w:t>
            </w:r>
          </w:p>
        </w:tc>
        <w:tc>
          <w:tcPr>
            <w:tcW w:w="123"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3"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209,179</w:t>
            </w:r>
            <w:r>
              <w:rPr>
                <w:color w:val="000000"/>
              </w:rPr>
              <w:t> </w:t>
            </w:r>
          </w:p>
        </w:tc>
        <w:tc>
          <w:tcPr>
            <w:tcW w:w="115"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3"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195,327</w:t>
            </w:r>
            <w:r>
              <w:rPr>
                <w:color w:val="000000"/>
              </w:rPr>
              <w:t> </w:t>
            </w:r>
          </w:p>
        </w:tc>
        <w:tc>
          <w:tcPr>
            <w:tcW w:w="162"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color w:val="000000"/>
          <w:sz w:val="16"/>
        </w:rPr>
      </w:pPr>
      <w:r>
        <w:rPr>
          <w:rFonts w:ascii="Times New Roman;serif" w:hAnsi="Times New Roman;serif"/>
          <w:b/>
          <w:color w:val="000000"/>
          <w:sz w:val="16"/>
        </w:rPr>
        <w:t xml:space="preserve">Notes: </w:t>
      </w:r>
    </w:p>
    <w:p>
      <w:pPr>
        <w:pStyle w:val="TextBody"/>
        <w:bidi w:val="0"/>
        <w:spacing w:lineRule="auto" w:line="288" w:before="0" w:after="0"/>
        <w:ind w:left="0" w:right="0" w:hanging="54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(1)Includes our ownership interest in the interest, depreciation, and amortization expense of the unconsolidated joint venture.</w:t>
      </w:r>
    </w:p>
    <w:p>
      <w:pPr>
        <w:pStyle w:val="TextBody"/>
        <w:bidi w:val="0"/>
        <w:spacing w:lineRule="auto" w:line="288" w:before="0" w:after="0"/>
        <w:ind w:left="0" w:right="0" w:hanging="54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(2)Represents expenses related to the brand conversions of certain hotel properties prior to opening.</w:t>
      </w:r>
    </w:p>
    <w:p>
      <w:pPr>
        <w:pStyle w:val="TextBody"/>
        <w:bidi w:val="0"/>
        <w:spacing w:lineRule="auto" w:line="288" w:before="0" w:after="0"/>
        <w:ind w:left="0" w:right="0" w:hanging="54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Represents expenses and income outside the normal course of operations.</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(4)Excludes amortization of share-based compensation and general and administrative expenses outside the normal course of operations.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drawing>
          <wp:inline distT="0" distB="0" distL="0" distR="0">
            <wp:extent cx="2619375" cy="4762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Non-GAAP Measures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 except margin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Comparable Hotel EBITDA Margin</w:t>
      </w:r>
    </w:p>
    <w:tbl>
      <w:tblPr>
        <w:tblW w:w="9588" w:type="dxa"/>
        <w:jc w:val="left"/>
        <w:tblInd w:w="0" w:type="dxa"/>
        <w:tblLayout w:type="fixed"/>
        <w:tblCellMar>
          <w:top w:w="28" w:type="dxa"/>
          <w:left w:w="28" w:type="dxa"/>
          <w:bottom w:w="28" w:type="dxa"/>
          <w:right w:w="28" w:type="dxa"/>
        </w:tblCellMar>
      </w:tblPr>
      <w:tblGrid>
        <w:gridCol w:w="1337"/>
        <w:gridCol w:w="1173"/>
        <w:gridCol w:w="1180"/>
        <w:gridCol w:w="196"/>
        <w:gridCol w:w="751"/>
        <w:gridCol w:w="271"/>
        <w:gridCol w:w="109"/>
        <w:gridCol w:w="109"/>
        <w:gridCol w:w="109"/>
        <w:gridCol w:w="196"/>
        <w:gridCol w:w="751"/>
        <w:gridCol w:w="271"/>
        <w:gridCol w:w="109"/>
        <w:gridCol w:w="109"/>
        <w:gridCol w:w="109"/>
        <w:gridCol w:w="196"/>
        <w:gridCol w:w="751"/>
        <w:gridCol w:w="271"/>
        <w:gridCol w:w="109"/>
        <w:gridCol w:w="109"/>
        <w:gridCol w:w="109"/>
        <w:gridCol w:w="196"/>
        <w:gridCol w:w="751"/>
        <w:gridCol w:w="316"/>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three months ended June 30,</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six months ended June 30,</w:t>
            </w:r>
          </w:p>
        </w:tc>
      </w:tr>
      <w:tr>
        <w:trPr/>
        <w:tc>
          <w:tcPr>
            <w:tcW w:w="3690"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27"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27"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r>
      <w:tr>
        <w:trPr/>
        <w:tc>
          <w:tcPr>
            <w:tcW w:w="3690"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382,988 </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363,103 </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722,965 </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691,222 </w:t>
            </w:r>
          </w:p>
        </w:tc>
        <w:tc>
          <w:tcPr>
            <w:tcW w:w="316"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adjustments - revenue from sold hotels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corporate adjustments / non-hotel revenue</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71"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16"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Comparable Hotel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382,020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357,542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720,606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679,058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Comparable Hotel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119,514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111,544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209,179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195,327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Comparable Hotel EBITDA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drawing>
          <wp:inline distT="0" distB="0" distL="0" distR="0">
            <wp:extent cx="2619375" cy="4762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100" w:after="6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Reconciliation of Non-GAAP Measures - Full-Year Outlook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millions)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Before Interest, Taxes, Depreciation and Amortization (EBITDA)</w:t>
      </w:r>
    </w:p>
    <w:tbl>
      <w:tblPr>
        <w:tblW w:w="6611" w:type="dxa"/>
        <w:jc w:val="left"/>
        <w:tblInd w:w="0" w:type="dxa"/>
        <w:tblLayout w:type="fixed"/>
        <w:tblCellMar>
          <w:top w:w="28" w:type="dxa"/>
          <w:left w:w="28" w:type="dxa"/>
          <w:bottom w:w="28" w:type="dxa"/>
          <w:right w:w="28" w:type="dxa"/>
        </w:tblCellMar>
      </w:tblPr>
      <w:tblGrid>
        <w:gridCol w:w="1314"/>
        <w:gridCol w:w="1159"/>
        <w:gridCol w:w="1171"/>
        <w:gridCol w:w="274"/>
        <w:gridCol w:w="798"/>
        <w:gridCol w:w="152"/>
        <w:gridCol w:w="152"/>
        <w:gridCol w:w="152"/>
        <w:gridCol w:w="152"/>
        <w:gridCol w:w="274"/>
        <w:gridCol w:w="798"/>
        <w:gridCol w:w="215"/>
      </w:tblGrid>
      <w:tr>
        <w:trPr/>
        <w:tc>
          <w:tcPr>
            <w:tcW w:w="131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year ended December 31, 2026</w:t>
            </w:r>
          </w:p>
        </w:tc>
      </w:tr>
      <w:tr>
        <w:trPr/>
        <w:tc>
          <w:tcPr>
            <w:tcW w:w="3644"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Low End</w:t>
            </w:r>
          </w:p>
        </w:tc>
        <w:tc>
          <w:tcPr>
            <w:tcW w:w="456"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High End</w:t>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7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interest income</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related to joint ventures</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EBITDA </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334.3</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hotel properties, net</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EBITDA</w:t>
            </w:r>
            <w:r>
              <w:rPr>
                <w:rFonts w:ascii="Times New Roman;serif" w:hAnsi="Times New Roman;serif"/>
                <w:b/>
                <w:i/>
                <w:color w:val="000000"/>
                <w:sz w:val="16"/>
              </w:rPr>
              <w:t>re</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319.1</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338.1</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 items, net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72"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336.0</w:t>
            </w:r>
            <w:r>
              <w:rPr>
                <w:color w:val="000000"/>
              </w:rPr>
              <w:t> </w:t>
            </w:r>
          </w:p>
        </w:tc>
        <w:tc>
          <w:tcPr>
            <w:tcW w:w="152"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356.0</w:t>
            </w:r>
            <w:r>
              <w:rPr>
                <w:color w:val="000000"/>
              </w:rPr>
              <w:t> </w:t>
            </w:r>
          </w:p>
        </w:tc>
        <w:tc>
          <w:tcPr>
            <w:tcW w:w="215"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corporate adjustments</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Hotel EBITDA</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369.4</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389.4</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Comparable adjustments - income from sold hotels</w:t>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2"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15"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Comparable Hotel EBITDA</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369.0</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389.0</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Funds from Operations (FFO) Attributable to Common Shareholders and Unitholders</w:t>
      </w:r>
    </w:p>
    <w:tbl>
      <w:tblPr>
        <w:tblW w:w="7635" w:type="dxa"/>
        <w:jc w:val="left"/>
        <w:tblInd w:w="0" w:type="dxa"/>
        <w:tblLayout w:type="fixed"/>
        <w:tblCellMar>
          <w:top w:w="28" w:type="dxa"/>
          <w:left w:w="28" w:type="dxa"/>
          <w:bottom w:w="28" w:type="dxa"/>
          <w:right w:w="28" w:type="dxa"/>
        </w:tblCellMar>
      </w:tblPr>
      <w:tblGrid>
        <w:gridCol w:w="1646"/>
        <w:gridCol w:w="1454"/>
        <w:gridCol w:w="1460"/>
        <w:gridCol w:w="275"/>
        <w:gridCol w:w="803"/>
        <w:gridCol w:w="153"/>
        <w:gridCol w:w="153"/>
        <w:gridCol w:w="153"/>
        <w:gridCol w:w="153"/>
        <w:gridCol w:w="275"/>
        <w:gridCol w:w="803"/>
        <w:gridCol w:w="153"/>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For the year ended December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Low End</w:t>
            </w:r>
          </w:p>
        </w:tc>
        <w:tc>
          <w:tcPr>
            <w:tcW w:w="459" w:type="dxa"/>
            <w:gridSpan w:val="3"/>
            <w:tcBorders>
              <w:top w:val="single" w:sz="8" w:space="0" w:color="FFFFFF"/>
            </w:tcBorders>
            <w:shd w:fill="1628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tcBorders>
            <w:shd w:fill="16283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High End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7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hotel properties,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related to joint ventures</w:t>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FFO</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191.3</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208.3</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 items,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FFO</w:t>
            </w:r>
          </w:p>
        </w:tc>
        <w:tc>
          <w:tcPr>
            <w:tcW w:w="275"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207.8</w:t>
            </w:r>
            <w:r>
              <w:rPr>
                <w:color w:val="000000"/>
              </w:rPr>
              <w:t> </w:t>
            </w:r>
          </w:p>
        </w:tc>
        <w:tc>
          <w:tcPr>
            <w:tcW w:w="153"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227.8</w:t>
            </w:r>
            <w:r>
              <w:rPr>
                <w:color w:val="000000"/>
              </w:rPr>
              <w:t> </w:t>
            </w:r>
          </w:p>
        </w:tc>
        <w:tc>
          <w:tcPr>
            <w:tcW w:w="153"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FFO per common share and unit-diluted</w:t>
            </w:r>
          </w:p>
        </w:tc>
        <w:tc>
          <w:tcPr>
            <w:tcW w:w="27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w:t>
            </w:r>
            <w:r>
              <w:rPr>
                <w:color w:val="000000"/>
              </w:rPr>
              <w:t>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3" w:type="dxa"/>
            <w:tcBorders/>
            <w:shd w:fill="EEEEEE"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w:t>
            </w:r>
            <w:r>
              <w:rPr>
                <w:color w:val="000000"/>
              </w:rPr>
              <w:t>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EEEEE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Diluted weighted-average common shares and units outstanding</w:t>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53"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drawing>
          <wp:inline distT="0" distB="0" distL="0" distR="0">
            <wp:extent cx="2619375" cy="47625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2619375" cy="4762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Debt Summary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(Amounts in thousands except interest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17"/>
        <w:gridCol w:w="872"/>
        <w:gridCol w:w="887"/>
        <w:gridCol w:w="428"/>
        <w:gridCol w:w="428"/>
        <w:gridCol w:w="430"/>
        <w:gridCol w:w="594"/>
        <w:gridCol w:w="594"/>
        <w:gridCol w:w="595"/>
        <w:gridCol w:w="453"/>
        <w:gridCol w:w="453"/>
        <w:gridCol w:w="454"/>
        <w:gridCol w:w="392"/>
        <w:gridCol w:w="392"/>
        <w:gridCol w:w="394"/>
        <w:gridCol w:w="109"/>
        <w:gridCol w:w="109"/>
        <w:gridCol w:w="109"/>
        <w:gridCol w:w="220"/>
        <w:gridCol w:w="995"/>
        <w:gridCol w:w="180"/>
      </w:tblGrid>
      <w:tr>
        <w:trPr/>
        <w:tc>
          <w:tcPr>
            <w:tcW w:w="111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Loan</w:t>
            </w:r>
          </w:p>
        </w:tc>
        <w:tc>
          <w:tcPr>
            <w:tcW w:w="1286"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Base Term (Years)</w:t>
            </w:r>
          </w:p>
        </w:tc>
        <w:tc>
          <w:tcPr>
            <w:tcW w:w="1783"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Maturity (incl. extensions)</w:t>
            </w:r>
          </w:p>
        </w:tc>
        <w:tc>
          <w:tcPr>
            <w:tcW w:w="1360"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Floating / Fixed (1)</w:t>
            </w:r>
          </w:p>
        </w:tc>
        <w:tc>
          <w:tcPr>
            <w:tcW w:w="1178"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Interest Rate (2)</w:t>
            </w:r>
          </w:p>
        </w:tc>
        <w:tc>
          <w:tcPr>
            <w:tcW w:w="327" w:type="dxa"/>
            <w:gridSpan w:val="3"/>
            <w:tcBorders/>
            <w:shd w:fill="1628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16283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 xml:space="preserve">Balance as of </w:t>
              <w:br/>
              <w:t>June 30, 2026 (3)</w:t>
            </w:r>
          </w:p>
        </w:tc>
      </w:tr>
      <w:tr>
        <w:trPr/>
        <w:tc>
          <w:tcPr>
            <w:tcW w:w="2876" w:type="dxa"/>
            <w:gridSpan w:val="3"/>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Debt</w:t>
            </w:r>
          </w:p>
        </w:tc>
        <w:tc>
          <w:tcPr>
            <w:tcW w:w="1286"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 - 1 hotel</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 - 3 hotels</w:t>
            </w:r>
          </w:p>
        </w:tc>
        <w:tc>
          <w:tcPr>
            <w:tcW w:w="128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178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13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w:t>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91,700 </w:t>
            </w:r>
          </w:p>
        </w:tc>
        <w:tc>
          <w:tcPr>
            <w:tcW w:w="18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 - 4 hotels</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 Mortgage Total</w:t>
            </w:r>
          </w:p>
        </w:tc>
        <w:tc>
          <w:tcPr>
            <w:tcW w:w="1286"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5.15%</w:t>
            </w:r>
          </w:p>
        </w:tc>
        <w:tc>
          <w:tcPr>
            <w:tcW w:w="327"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189,400</w:t>
            </w:r>
            <w:r>
              <w:rPr>
                <w:color w:val="000000"/>
              </w:rPr>
              <w:t> </w:t>
            </w:r>
          </w:p>
        </w:tc>
        <w:tc>
          <w:tcPr>
            <w:tcW w:w="18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 Debt</w:t>
            </w:r>
          </w:p>
        </w:tc>
        <w:tc>
          <w:tcPr>
            <w:tcW w:w="128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Revolver (4)</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2031</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$569 Million Term Loan Maturing 2031 (5)</w:t>
            </w:r>
          </w:p>
        </w:tc>
        <w:tc>
          <w:tcPr>
            <w:tcW w:w="128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78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2031</w:t>
            </w:r>
          </w:p>
        </w:tc>
        <w:tc>
          <w:tcPr>
            <w:tcW w:w="13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569,000 </w:t>
            </w:r>
          </w:p>
        </w:tc>
        <w:tc>
          <w:tcPr>
            <w:tcW w:w="18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$500 Million Term Loan Maturing 2027 </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2029</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$500 Million Senior Notes due 2026 (5)</w:t>
            </w:r>
          </w:p>
        </w:tc>
        <w:tc>
          <w:tcPr>
            <w:tcW w:w="128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178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13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117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8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$500 Million Senior Notes due 2029</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2029</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$300 Million Term Loan Maturing 2030</w:t>
            </w:r>
          </w:p>
        </w:tc>
        <w:tc>
          <w:tcPr>
            <w:tcW w:w="128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783"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2030</w:t>
            </w:r>
          </w:p>
        </w:tc>
        <w:tc>
          <w:tcPr>
            <w:tcW w:w="1360"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EEE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80" w:type="dxa"/>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$150 Million Term Loan Maturing 2033 (5)</w:t>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2033</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Floating</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 Corporate Total</w:t>
            </w:r>
          </w:p>
        </w:tc>
        <w:tc>
          <w:tcPr>
            <w:tcW w:w="1286"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4.75%</w:t>
            </w:r>
          </w:p>
        </w:tc>
        <w:tc>
          <w:tcPr>
            <w:tcW w:w="327" w:type="dxa"/>
            <w:gridSpan w:val="3"/>
            <w:tcBorders>
              <w:top w:val="single" w:sz="8" w:space="0" w:color="000000"/>
            </w:tcBorders>
            <w:shd w:fill="EEE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tcBorders>
              <w:top w:val="single" w:sz="8" w:space="0" w:color="000000"/>
            </w:tcBorders>
            <w:shd w:fill="EEEEE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2,519,000</w:t>
            </w:r>
            <w:r>
              <w:rPr>
                <w:color w:val="000000"/>
              </w:rPr>
              <w:t> </w:t>
            </w:r>
          </w:p>
        </w:tc>
        <w:tc>
          <w:tcPr>
            <w:tcW w:w="180" w:type="dxa"/>
            <w:tcBorders>
              <w:top w:val="single" w:sz="8" w:space="0" w:color="000000"/>
            </w:tcBorders>
            <w:shd w:fill="EEE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EEEE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Weighted-Average / Gross Debt</w:t>
            </w:r>
          </w:p>
        </w:tc>
        <w:tc>
          <w:tcPr>
            <w:tcW w:w="1286"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4.78%</w:t>
            </w:r>
          </w:p>
        </w:tc>
        <w:tc>
          <w:tcPr>
            <w:tcW w:w="327" w:type="dxa"/>
            <w:gridSpan w:val="3"/>
            <w:tcBorders/>
            <w:shd w:fill="EEE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5"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2,708,400</w:t>
            </w:r>
            <w:r>
              <w:rPr>
                <w:color w:val="000000"/>
              </w:rPr>
              <w:t> </w:t>
            </w:r>
          </w:p>
        </w:tc>
        <w:tc>
          <w:tcPr>
            <w:tcW w:w="180" w:type="dxa"/>
            <w:tcBorders>
              <w:top w:val="single" w:sz="8" w:space="0" w:color="000000"/>
              <w:bottom w:val="double" w:sz="8" w:space="0" w:color="000000"/>
            </w:tcBorders>
            <w:shd w:fill="EEE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6"/>
        </w:rPr>
        <w:t>Notes:</w:t>
      </w:r>
      <w:r>
        <w:rPr>
          <w:color w:val="000000"/>
        </w:rPr>
        <w:t xml:space="preserve"> </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 The floating interest rate is hedged, or partially hedged, with an interest rate swap.</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Interest rates as of June 30, 2026, inclusive of the impact of interest rate hedges.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Excludes the impact of fair value adjustments and deferred financing costs.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 As of June 30, 2026, there was $600.0 million of borrowing capacity on the Revolver, which is charged an unused commitment fee of 0.25% annually.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(5) On June 30, 2026, the Company drew the remaining $344.0 million under the $569.0 million delayed draw term loan and the total balance of the $150.0 million delayed draw term loan. On July 1, 2026, the Company used these proceeds to repay its $500.0 million Senior Notes due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4708</Words>
  <Characters>26944</Characters>
  <CharactersWithSpaces>31109</CharactersWithSpaces>
  <Paragraphs>1103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