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Bhalla Nikhil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7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09/15/2025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RLJ Lodging Trust</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RLJ</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RLJ LODGING TRUST</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7373 WISCONSIN AVENUE,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1500</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BETHESDA MD</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20814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63"/>
        <w:spacing w:after="0"/>
        <w:rPr>
          <w:sz w:val="20"/>
          <w:szCs w:val="20"/>
          <w:color w:val="auto"/>
        </w:rPr>
      </w:pPr>
      <w:r>
        <w:rPr>
          <w:rFonts w:ascii="Times New Roman" w:cs="Times New Roman" w:eastAsia="Times New Roman" w:hAnsi="Times New Roman"/>
          <w:sz w:val="20"/>
          <w:szCs w:val="20"/>
          <w:color w:val="0000FF"/>
        </w:rPr>
        <w:t>SVP, CFO &amp; Treasurer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149,675</w:t>
            </w:r>
            <w:r>
              <w:rPr>
                <w:rFonts w:ascii="Times New Roman" w:cs="Times New Roman" w:eastAsia="Times New Roman" w:hAnsi="Times New Roman"/>
                <w:sz w:val="25"/>
                <w:szCs w:val="25"/>
                <w:color w:val="008000"/>
                <w:vertAlign w:val="superscript"/>
              </w:rPr>
              <w:t>(1)</w:t>
            </w:r>
          </w:p>
        </w:tc>
        <w:tc>
          <w:tcPr>
            <w:tcW w:w="10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2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54,147 restricted shares, which vest ratably over three years on the yearly anniversary of the date of grant and were granted to the reporting person pursuant to the RLJ Lodging Trust 2021 Equity Incentive Plan.</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Leslie D. Hale,</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09/25/2025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Leslie D. Hale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Frederick D. McKalip, the undersigned’s true and lawful attorney-in-fact to:</w:t>
      </w:r>
    </w:p>
    <w:p>
      <w:pPr>
        <w:spacing w:after="0" w:line="233" w:lineRule="exact"/>
        <w:rPr>
          <w:sz w:val="20"/>
          <w:szCs w:val="20"/>
          <w:color w:val="auto"/>
        </w:rPr>
      </w:pPr>
    </w:p>
    <w:p>
      <w:pPr>
        <w:jc w:val="both"/>
        <w:ind w:left="720" w:hanging="360"/>
        <w:spacing w:after="0" w:line="247" w:lineRule="auto"/>
        <w:tabs>
          <w:tab w:leader="none" w:pos="14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and/or trustee of RLJ Lodging Trust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Forms 3, 4, and 5 in accordance with Section 16(a) of the Securities Exchange Act of 1934 and the rules thereunder, and any other forms or reports the undersigned may be required to file in connection with the undersigned's ownership, acquisition, or disposition of securities of the Company;</w:t>
      </w:r>
    </w:p>
    <w:p>
      <w:pPr>
        <w:spacing w:after="0" w:line="204" w:lineRule="exact"/>
        <w:rPr>
          <w:rFonts w:ascii="Times New Roman" w:cs="Times New Roman" w:eastAsia="Times New Roman" w:hAnsi="Times New Roman"/>
          <w:sz w:val="22"/>
          <w:szCs w:val="22"/>
          <w:color w:val="auto"/>
        </w:rPr>
      </w:pPr>
    </w:p>
    <w:p>
      <w:pPr>
        <w:jc w:val="both"/>
        <w:ind w:left="720" w:hanging="360"/>
        <w:spacing w:after="0" w:line="257" w:lineRule="auto"/>
        <w:tabs>
          <w:tab w:leader="none" w:pos="14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92" w:lineRule="exact"/>
        <w:rPr>
          <w:rFonts w:ascii="Times New Roman" w:cs="Times New Roman" w:eastAsia="Times New Roman" w:hAnsi="Times New Roman"/>
          <w:sz w:val="22"/>
          <w:szCs w:val="22"/>
          <w:color w:val="auto"/>
        </w:rPr>
      </w:pPr>
    </w:p>
    <w:p>
      <w:pPr>
        <w:jc w:val="both"/>
        <w:ind w:left="720" w:hanging="360"/>
        <w:spacing w:after="0" w:line="246" w:lineRule="auto"/>
        <w:tabs>
          <w:tab w:leader="none" w:pos="14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attorney-in-fact, may be of benefit to, and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9" w:lineRule="exact"/>
        <w:rPr>
          <w:sz w:val="20"/>
          <w:szCs w:val="20"/>
          <w:color w:val="auto"/>
        </w:rPr>
      </w:pPr>
    </w:p>
    <w:p>
      <w:pPr>
        <w:jc w:val="both"/>
        <w:ind w:firstLine="720"/>
        <w:spacing w:after="0" w:line="242"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10"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spacing w:after="0" w:line="263" w:lineRule="exact"/>
        <w:rPr>
          <w:sz w:val="20"/>
          <w:szCs w:val="20"/>
          <w:color w:val="auto"/>
        </w:rPr>
      </w:pPr>
    </w:p>
    <w:p>
      <w:pPr>
        <w:jc w:val="both"/>
        <w:ind w:right="20" w:firstLine="720"/>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25th day of September, 2025.</w:t>
      </w:r>
    </w:p>
    <w:p>
      <w:pPr>
        <w:spacing w:after="0" w:line="200" w:lineRule="exact"/>
        <w:rPr>
          <w:sz w:val="20"/>
          <w:szCs w:val="20"/>
          <w:color w:val="auto"/>
        </w:rPr>
      </w:pPr>
    </w:p>
    <w:p>
      <w:pPr>
        <w:spacing w:after="0" w:line="230"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22"/>
          <w:szCs w:val="22"/>
          <w:color w:val="auto"/>
        </w:rPr>
        <w:t>/s/ Nikhil Bhalla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5848985</wp:posOffset>
            </wp:positionH>
            <wp:positionV relativeFrom="paragraph">
              <wp:posOffset>-10795</wp:posOffset>
            </wp:positionV>
            <wp:extent cx="109791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97915" cy="9525"/>
                    </a:xfrm>
                    <a:prstGeom prst="rect">
                      <a:avLst/>
                    </a:prstGeom>
                    <a:noFill/>
                  </pic:spPr>
                </pic:pic>
              </a:graphicData>
            </a:graphic>
          </wp:anchor>
        </w:drawing>
      </w:r>
    </w:p>
    <w:p>
      <w:pPr>
        <w:spacing w:after="0" w:line="6"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22"/>
          <w:szCs w:val="22"/>
          <w:color w:val="auto"/>
        </w:rPr>
        <w:t>Nikhil Bhalla</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87827" TargetMode="External"/><Relationship Id="rId11" Type="http://schemas.openxmlformats.org/officeDocument/2006/relationships/hyperlink" Target="http://www.sec.gov/cgi-bin/browse-edgar?action=getcompany&amp;CIK=00015113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2025-09-25T17:05:19Z</dcterms:created>
  <dcterms:modified xsi:type="dcterms:W3CDTF">2025-09-25T17:05:19Z</dcterms:modified>
</cp:coreProperties>
</file>