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06, 2024</w:t>
      </w: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RLJ LODGING TRUST</w:t>
      </w:r>
    </w:p>
    <w:p>
      <w:pPr>
        <w:spacing w:after="0" w:line="5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983" w:right="499" w:bottom="1440" w:gutter="0" w:footer="0" w:header="0"/>
        </w:sectPr>
      </w:pPr>
    </w:p>
    <w:p>
      <w:pPr>
        <w:spacing w:after="0" w:line="32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001-35169</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27-4706509</w:t>
      </w:r>
    </w:p>
    <w:p>
      <w:pPr>
        <w:spacing w:after="0" w:line="31" w:lineRule="exact"/>
        <w:rPr>
          <w:sz w:val="24"/>
          <w:szCs w:val="24"/>
          <w:color w:val="auto"/>
        </w:rPr>
      </w:pPr>
    </w:p>
    <w:p>
      <w:pPr>
        <w:sectPr>
          <w:pgSz w:w="11900" w:h="16838" w:orient="portrait"/>
          <w:cols w:equalWidth="0" w:num="3">
            <w:col w:w="4460" w:space="720"/>
            <w:col w:w="3020" w:space="720"/>
            <w:col w:w="2160"/>
          </w:cols>
          <w:pgMar w:left="320" w:top="983" w:right="49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860" w:space="720"/>
            <w:col w:w="2660" w:space="720"/>
            <w:col w:w="3120"/>
          </w:cols>
          <w:pgMar w:left="320" w:top="983" w:right="499" w:bottom="1440" w:gutter="0" w:footer="0" w:header="0"/>
          <w:type w:val="continuous"/>
        </w:sectPr>
      </w:pPr>
    </w:p>
    <w:p>
      <w:pPr>
        <w:spacing w:after="0" w:line="246"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7373 Wisconsin Avenue, Suite 1500</w:t>
      </w:r>
    </w:p>
    <w:p>
      <w:pPr>
        <w:spacing w:after="0" w:line="4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Bethesda,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20814</w:t>
      </w:r>
    </w:p>
    <w:p>
      <w:pPr>
        <w:spacing w:after="0" w:line="43" w:lineRule="exact"/>
        <w:rPr>
          <w:sz w:val="24"/>
          <w:szCs w:val="24"/>
          <w:color w:val="auto"/>
        </w:rPr>
      </w:pPr>
    </w:p>
    <w:p>
      <w:pPr>
        <w:sectPr>
          <w:pgSz w:w="11900" w:h="16838" w:orient="portrait"/>
          <w:cols w:equalWidth="0" w:num="2">
            <w:col w:w="7760" w:space="720"/>
            <w:col w:w="2600"/>
          </w:cols>
          <w:pgMar w:left="320" w:top="983" w:right="49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80" w:space="720"/>
            <w:col w:w="2780"/>
          </w:cols>
          <w:pgMar w:left="320" w:top="983" w:right="499" w:bottom="1440" w:gutter="0" w:footer="0" w:header="0"/>
          <w:type w:val="continuous"/>
        </w:sectPr>
      </w:pPr>
    </w:p>
    <w:p>
      <w:pPr>
        <w:spacing w:after="0" w:line="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(301) 280-7777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9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color w:val="auto"/>
        </w:rPr>
        <w:t>Securities registered pursuant to Section 12 (b) of the Exchange Act:</w:t>
      </w:r>
    </w:p>
    <w:p>
      <w:pPr>
        <w:spacing w:after="0" w:line="132"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Class</w:t>
            </w:r>
          </w:p>
        </w:tc>
        <w:tc>
          <w:tcPr>
            <w:tcW w:w="2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860" w:type="dxa"/>
            <w:vAlign w:val="bottom"/>
          </w:tcPr>
          <w:p>
            <w:pPr>
              <w:spacing w:after="0"/>
              <w:rPr>
                <w:sz w:val="18"/>
                <w:szCs w:val="18"/>
                <w:color w:val="auto"/>
              </w:rPr>
            </w:pPr>
          </w:p>
        </w:tc>
        <w:tc>
          <w:tcPr>
            <w:tcW w:w="382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0"/>
        </w:trPr>
        <w:tc>
          <w:tcPr>
            <w:tcW w:w="1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9"/>
        </w:trPr>
        <w:tc>
          <w:tcPr>
            <w:tcW w:w="488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Shares of beneficial interest, par value</w:t>
            </w:r>
          </w:p>
        </w:tc>
        <w:tc>
          <w:tcPr>
            <w:tcW w:w="204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RLJ</w:t>
            </w:r>
          </w:p>
        </w:tc>
        <w:tc>
          <w:tcPr>
            <w:tcW w:w="880" w:type="dxa"/>
            <w:vAlign w:val="bottom"/>
          </w:tcPr>
          <w:p>
            <w:pPr>
              <w:spacing w:after="0"/>
              <w:rPr>
                <w:sz w:val="22"/>
                <w:szCs w:val="22"/>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88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$0.01 per share</w:t>
            </w: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40" w:type="dxa"/>
            <w:vAlign w:val="bottom"/>
          </w:tcPr>
          <w:p>
            <w:pPr>
              <w:spacing w:after="0"/>
              <w:rPr>
                <w:sz w:val="20"/>
                <w:szCs w:val="20"/>
                <w:color w:val="auto"/>
              </w:rPr>
            </w:pPr>
          </w:p>
        </w:tc>
      </w:tr>
    </w:tbl>
    <w:p>
      <w:pPr>
        <w:spacing w:after="0" w:line="37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3" w:right="49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On November 6, 2024, RLJ Lodging Trust (the “Company”) issued a press release announcing its financial results for the quarter ended September 30, 2024. A copy of the press release is furnished as Exhibit 99.1 to this Current Report on Form 8-K.</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filing.</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820" w:hanging="28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840" w:hanging="306"/>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820" w:hanging="28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840" w:hanging="306"/>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report:</w:t>
      </w: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3" w:lineRule="exact"/>
        <w:rPr>
          <w:sz w:val="20"/>
          <w:szCs w:val="20"/>
          <w:color w:val="auto"/>
        </w:rPr>
      </w:pPr>
    </w:p>
    <w:p>
      <w:pPr>
        <w:ind w:left="1940" w:right="820" w:hanging="822"/>
        <w:spacing w:after="0" w:line="237" w:lineRule="auto"/>
        <w:tabs>
          <w:tab w:leader="none" w:pos="19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November 6, 2024, issued by RLJ Lodging Trust, providing financial results for the quarter ended September 30, 2024.</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RLJ LODGING TRUST</w:t>
            </w:r>
          </w:p>
        </w:tc>
      </w:tr>
      <w:tr>
        <w:trPr>
          <w:trHeight w:val="45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2024</w:t>
            </w:r>
          </w:p>
        </w:tc>
        <w:tc>
          <w:tcPr>
            <w:tcW w:w="24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Leslie D. Hale</w:t>
            </w:r>
          </w:p>
        </w:tc>
      </w:tr>
      <w:tr>
        <w:trPr>
          <w:trHeight w:val="218"/>
        </w:trPr>
        <w:tc>
          <w:tcPr>
            <w:tcW w:w="36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Leslie D. Hale</w:t>
            </w:r>
          </w:p>
        </w:tc>
      </w:tr>
      <w:tr>
        <w:trPr>
          <w:trHeight w:val="234"/>
        </w:trPr>
        <w:tc>
          <w:tcPr>
            <w:tcW w:w="36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0" w:type="dxa"/>
            <w:vAlign w:val="bottom"/>
          </w:tcPr>
          <w:p>
            <w:pPr>
              <w:spacing w:after="0"/>
              <w:rPr>
                <w:sz w:val="18"/>
                <w:szCs w:val="18"/>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LIST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2"/>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120"/>
        <w:spacing w:after="0"/>
        <w:tabs>
          <w:tab w:leader="none" w:pos="17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November 6, 2024, issued by RLJ Lodging Trust, providing financial results for the quarter ended September</w:t>
      </w:r>
    </w:p>
    <w:p>
      <w:pPr>
        <w:spacing w:after="0" w:line="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u w:val="single" w:color="auto"/>
          <w:color w:val="0000FF"/>
        </w:rPr>
        <w:t>30, 2024.</w:t>
      </w:r>
    </w:p>
    <w:p>
      <w:pPr>
        <w:sectPr>
          <w:pgSz w:w="11900" w:h="16838" w:orient="portrait"/>
          <w:cols w:equalWidth="0" w:num="1">
            <w:col w:w="11220"/>
          </w:cols>
          <w:pgMar w:left="320" w:top="1373" w:right="359" w:bottom="1440" w:gutter="0" w:footer="0" w:header="0"/>
        </w:sectPr>
      </w:pPr>
    </w:p>
    <w:bookmarkStart w:id="2" w:name="page3"/>
    <w:bookmarkEnd w:id="2"/>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9"/>
          <w:szCs w:val="29"/>
          <w:b w:val="1"/>
          <w:bCs w:val="1"/>
          <w:color w:val="auto"/>
        </w:rPr>
        <w:t>Press Release</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RLJ Lodging Trust Reports Third Quarter 2024 Results</w:t>
      </w: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i w:val="1"/>
          <w:iCs w:val="1"/>
          <w:color w:val="auto"/>
        </w:rPr>
        <w:t>Q3 RevPAR increased 2.0% compared to 2023</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i w:val="1"/>
          <w:iCs w:val="1"/>
          <w:color w:val="auto"/>
        </w:rPr>
        <w:t>Redeployed disposition proceeds to repurchase $20.7 million of common shares</w:t>
      </w:r>
    </w:p>
    <w:p>
      <w:pPr>
        <w:jc w:val="center"/>
        <w:ind w:right="-59"/>
        <w:spacing w:after="0"/>
        <w:rPr>
          <w:sz w:val="20"/>
          <w:szCs w:val="20"/>
          <w:color w:val="auto"/>
        </w:rPr>
      </w:pPr>
      <w:r>
        <w:rPr>
          <w:rFonts w:ascii="Times New Roman" w:cs="Times New Roman" w:eastAsia="Times New Roman" w:hAnsi="Times New Roman"/>
          <w:sz w:val="20"/>
          <w:szCs w:val="20"/>
          <w:b w:val="1"/>
          <w:bCs w:val="1"/>
          <w:i w:val="1"/>
          <w:iCs w:val="1"/>
          <w:color w:val="auto"/>
        </w:rPr>
        <w:t>Entered into a new $500.0 million term loan</w:t>
      </w:r>
    </w:p>
    <w:p>
      <w:pPr>
        <w:spacing w:after="0" w:line="22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Bethesda, MD, November 6, 2024 – RLJ Lodging Trust (the “Company”) (NYSE: RLJ) today reported results for the three and nine months ended September 30,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Highlights</w:t>
      </w:r>
    </w:p>
    <w:p>
      <w:pPr>
        <w:spacing w:after="0" w:line="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Portfolio Comparable RevPAR of $145.23; an increase of 2.0% from last year</w:t>
      </w: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Comparable Hotel Revenue of $344.7 million; an increase of 3.0% from last year</w:t>
      </w: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of $20.6 million</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Comparable Hotel EBITDA of $100.7 million, an increase of 2.6% from last year</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Adjusted EBITDA of $91.9 million; an increase of 3.6% from last year</w:t>
      </w:r>
    </w:p>
    <w:p>
      <w:pPr>
        <w:ind w:left="660" w:hanging="328"/>
        <w:spacing w:after="0" w:line="216"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Adjusted FFO per diluted common share and unit of $0.40</w:t>
      </w: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Repurchased 1.6 million shares during the third quarter for approximately $14.8 million at an average price of $9.21</w:t>
      </w:r>
    </w:p>
    <w:p>
      <w:pPr>
        <w:ind w:left="660" w:right="120" w:hanging="328"/>
        <w:spacing w:after="0" w:line="23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a new $500.0 million term loan, using the proceeds to refinance a $400.0 million term loan due in 2025 and repay $100.0 million of outstanding borrowings on our revolver</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Increased quarterly common share dividend by 50%</w:t>
      </w:r>
    </w:p>
    <w:p>
      <w:pPr>
        <w:spacing w:after="0" w:line="22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“We are pleased with our third quarter results which were ahead of our expectations. We achieved RevPAR growth that was two times the industry and demonstrated the resiliency of our urban centric portfolio,” commented Leslie D. Hale, President and Chief Executive Officer. “In addition to achieving solid operating results, we executed on multiple key initiatives during the quarter including addressing all of our near-term maturities, completing two valuable conversions, accretively recycling non-core disposition proceeds to repurchase stock, raising our quarterly dividend by 50%, and reaffirming our outlook. All of these demonstrate our commitment to unlocking value while enhancing shareholder returns.”</w:t>
      </w:r>
    </w:p>
    <w:p>
      <w:pPr>
        <w:spacing w:after="0" w:line="195"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i w:val="1"/>
          <w:iCs w:val="1"/>
          <w:color w:val="auto"/>
        </w:rPr>
        <w:t>The prefix “comparable” as defined by the Company, denotes operating results which include results for periods prior to its ownership and excludes sold hotels. Explanations of EBITDA, EBITDAre, Adjusted EBITDA, Hotel EBITDA, Hotel EBITDA Margin, FFO, and Adjusted FFO, as well as reconciliations of those measures to net income or loss, if applicable, are included within this release.</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80"/>
          </w:cols>
          <w:pgMar w:left="320" w:top="1440" w:right="399" w:bottom="1440" w:gutter="0" w:footer="0" w:header="0"/>
        </w:sectPr>
      </w:pPr>
    </w:p>
    <w:bookmarkStart w:id="3" w:name="page4"/>
    <w:bookmarkEnd w:id="3"/>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and Operating Highlights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in thousands, except ADR, RevPAR, Change, and per share amounts)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680" w:type="dxa"/>
            <w:vAlign w:val="bottom"/>
            <w:shd w:val="clear" w:color="auto" w:fill="162835"/>
          </w:tcPr>
          <w:p>
            <w:pPr>
              <w:spacing w:after="0"/>
              <w:rPr>
                <w:sz w:val="17"/>
                <w:szCs w:val="17"/>
                <w:color w:val="auto"/>
              </w:rPr>
            </w:pPr>
          </w:p>
        </w:tc>
        <w:tc>
          <w:tcPr>
            <w:tcW w:w="3680" w:type="dxa"/>
            <w:vAlign w:val="bottom"/>
            <w:gridSpan w:val="3"/>
            <w:shd w:val="clear" w:color="auto" w:fill="162835"/>
          </w:tcPr>
          <w:p>
            <w:pPr>
              <w:ind w:left="560"/>
              <w:spacing w:after="0"/>
              <w:rPr>
                <w:sz w:val="20"/>
                <w:szCs w:val="20"/>
                <w:color w:val="auto"/>
              </w:rPr>
            </w:pPr>
            <w:r>
              <w:rPr>
                <w:rFonts w:ascii="Times New Roman" w:cs="Times New Roman" w:eastAsia="Times New Roman" w:hAnsi="Times New Roman"/>
                <w:sz w:val="14"/>
                <w:szCs w:val="14"/>
                <w:b w:val="1"/>
                <w:bCs w:val="1"/>
                <w:color w:val="FFFFFF"/>
              </w:rPr>
              <w:t>For the three months ended September 30,</w:t>
            </w:r>
          </w:p>
        </w:tc>
        <w:tc>
          <w:tcPr>
            <w:tcW w:w="3780" w:type="dxa"/>
            <w:vAlign w:val="bottom"/>
            <w:gridSpan w:val="3"/>
            <w:shd w:val="clear" w:color="auto" w:fill="162835"/>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For the nine months ended September 30,</w:t>
            </w:r>
          </w:p>
        </w:tc>
      </w:tr>
      <w:tr>
        <w:trPr>
          <w:trHeight w:val="196"/>
        </w:trPr>
        <w:tc>
          <w:tcPr>
            <w:tcW w:w="3680" w:type="dxa"/>
            <w:vAlign w:val="bottom"/>
            <w:tcBorders>
              <w:bottom w:val="single" w:sz="8" w:color="162835"/>
            </w:tcBorders>
            <w:shd w:val="clear" w:color="auto" w:fill="162835"/>
          </w:tcPr>
          <w:p>
            <w:pPr>
              <w:spacing w:after="0"/>
              <w:rPr>
                <w:sz w:val="17"/>
                <w:szCs w:val="17"/>
                <w:color w:val="auto"/>
              </w:rPr>
            </w:pPr>
          </w:p>
        </w:tc>
        <w:tc>
          <w:tcPr>
            <w:tcW w:w="1240" w:type="dxa"/>
            <w:vAlign w:val="bottom"/>
            <w:tcBorders>
              <w:bottom w:val="single" w:sz="8" w:color="162835"/>
            </w:tcBorders>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2024</w:t>
            </w:r>
          </w:p>
        </w:tc>
        <w:tc>
          <w:tcPr>
            <w:tcW w:w="1260" w:type="dxa"/>
            <w:vAlign w:val="bottom"/>
            <w:tcBorders>
              <w:bottom w:val="single" w:sz="8" w:color="162835"/>
            </w:tcBorders>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2023</w:t>
            </w:r>
          </w:p>
        </w:tc>
        <w:tc>
          <w:tcPr>
            <w:tcW w:w="1180" w:type="dxa"/>
            <w:vAlign w:val="bottom"/>
            <w:tcBorders>
              <w:bottom w:val="single" w:sz="8" w:color="162835"/>
            </w:tcBorders>
            <w:shd w:val="clear" w:color="auto" w:fill="162835"/>
          </w:tcPr>
          <w:p>
            <w:pPr>
              <w:ind w:left="38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1280" w:type="dxa"/>
            <w:vAlign w:val="bottom"/>
            <w:tcBorders>
              <w:bottom w:val="single" w:sz="8" w:color="162835"/>
            </w:tcBorders>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80" w:type="dxa"/>
            <w:vAlign w:val="bottom"/>
            <w:tcBorders>
              <w:bottom w:val="single" w:sz="8" w:color="162835"/>
            </w:tcBorders>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1220" w:type="dxa"/>
            <w:vAlign w:val="bottom"/>
            <w:tcBorders>
              <w:bottom w:val="single" w:sz="8" w:color="162835"/>
            </w:tcBorders>
            <w:shd w:val="clear" w:color="auto" w:fill="162835"/>
          </w:tcPr>
          <w:p>
            <w:pPr>
              <w:jc w:val="right"/>
              <w:ind w:right="328"/>
              <w:spacing w:after="0"/>
              <w:rPr>
                <w:sz w:val="20"/>
                <w:szCs w:val="20"/>
                <w:color w:val="auto"/>
              </w:rPr>
            </w:pPr>
            <w:r>
              <w:rPr>
                <w:rFonts w:ascii="Times New Roman" w:cs="Times New Roman" w:eastAsia="Times New Roman" w:hAnsi="Times New Roman"/>
                <w:sz w:val="14"/>
                <w:szCs w:val="14"/>
                <w:b w:val="1"/>
                <w:bCs w:val="1"/>
                <w:color w:val="FFFFFF"/>
              </w:rPr>
              <w:t>Change</w:t>
            </w:r>
          </w:p>
        </w:tc>
      </w:tr>
      <w:tr>
        <w:trPr>
          <w:trHeight w:val="203"/>
        </w:trPr>
        <w:tc>
          <w:tcPr>
            <w:tcW w:w="36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Operational Overview: </w:t>
            </w:r>
            <w:r>
              <w:rPr>
                <w:rFonts w:ascii="Times New Roman" w:cs="Times New Roman" w:eastAsia="Times New Roman" w:hAnsi="Times New Roman"/>
                <w:sz w:val="14"/>
                <w:szCs w:val="14"/>
                <w:color w:val="auto"/>
              </w:rPr>
              <w:t>(1)</w:t>
            </w:r>
          </w:p>
        </w:tc>
        <w:tc>
          <w:tcPr>
            <w:tcW w:w="124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ADR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$193.39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$192.24</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$199.59</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$198.88</w:t>
            </w:r>
          </w:p>
        </w:tc>
        <w:tc>
          <w:tcPr>
            <w:tcW w:w="12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0.4%</w:t>
            </w:r>
          </w:p>
        </w:tc>
      </w:tr>
      <w:tr>
        <w:trPr>
          <w:trHeight w:val="210"/>
        </w:trPr>
        <w:tc>
          <w:tcPr>
            <w:tcW w:w="36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Comparable Occupancy</w:t>
            </w:r>
          </w:p>
        </w:tc>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99"/>
              </w:rPr>
              <w:t>75.1%</w:t>
            </w:r>
          </w:p>
        </w:tc>
        <w:tc>
          <w:tcPr>
            <w:tcW w:w="12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99"/>
              </w:rPr>
              <w:t>74.1%</w:t>
            </w:r>
          </w:p>
        </w:tc>
        <w:tc>
          <w:tcPr>
            <w:tcW w:w="11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2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73.7%</w:t>
            </w:r>
          </w:p>
        </w:tc>
        <w:tc>
          <w:tcPr>
            <w:tcW w:w="12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72.6%</w:t>
            </w:r>
          </w:p>
        </w:tc>
        <w:tc>
          <w:tcPr>
            <w:tcW w:w="1220" w:type="dxa"/>
            <w:vAlign w:val="bottom"/>
            <w:shd w:val="clear" w:color="auto" w:fill="EEEEEE"/>
          </w:tcPr>
          <w:p>
            <w:pPr>
              <w:jc w:val="right"/>
              <w:ind w:right="408"/>
              <w:spacing w:after="0"/>
              <w:rPr>
                <w:sz w:val="20"/>
                <w:szCs w:val="20"/>
                <w:color w:val="auto"/>
              </w:rPr>
            </w:pPr>
            <w:r>
              <w:rPr>
                <w:rFonts w:ascii="Times New Roman" w:cs="Times New Roman" w:eastAsia="Times New Roman" w:hAnsi="Times New Roman"/>
                <w:sz w:val="14"/>
                <w:szCs w:val="14"/>
                <w:color w:val="auto"/>
              </w:rPr>
              <w:t>1.5%</w:t>
            </w: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RevPAR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$145.23</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$142.43</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$147.13</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$144.41</w:t>
            </w:r>
          </w:p>
        </w:tc>
        <w:tc>
          <w:tcPr>
            <w:tcW w:w="12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1.9%</w:t>
            </w:r>
          </w:p>
        </w:tc>
      </w:tr>
      <w:tr>
        <w:trPr>
          <w:trHeight w:val="223"/>
        </w:trPr>
        <w:tc>
          <w:tcPr>
            <w:tcW w:w="3680" w:type="dxa"/>
            <w:vAlign w:val="bottom"/>
            <w:shd w:val="clear" w:color="auto" w:fill="EEEEEE"/>
          </w:tcPr>
          <w:p>
            <w:pPr>
              <w:spacing w:after="0"/>
              <w:rPr>
                <w:sz w:val="19"/>
                <w:szCs w:val="19"/>
                <w:color w:val="auto"/>
              </w:rPr>
            </w:pPr>
          </w:p>
        </w:tc>
        <w:tc>
          <w:tcPr>
            <w:tcW w:w="1240" w:type="dxa"/>
            <w:vAlign w:val="bottom"/>
            <w:shd w:val="clear" w:color="auto" w:fill="EEEEEE"/>
          </w:tcPr>
          <w:p>
            <w:pPr>
              <w:spacing w:after="0"/>
              <w:rPr>
                <w:sz w:val="19"/>
                <w:szCs w:val="19"/>
                <w:color w:val="auto"/>
              </w:rPr>
            </w:pPr>
          </w:p>
        </w:tc>
        <w:tc>
          <w:tcPr>
            <w:tcW w:w="1260" w:type="dxa"/>
            <w:vAlign w:val="bottom"/>
            <w:shd w:val="clear" w:color="auto" w:fill="EEEEEE"/>
          </w:tcPr>
          <w:p>
            <w:pPr>
              <w:spacing w:after="0"/>
              <w:rPr>
                <w:sz w:val="19"/>
                <w:szCs w:val="19"/>
                <w:color w:val="auto"/>
              </w:rPr>
            </w:pPr>
          </w:p>
        </w:tc>
        <w:tc>
          <w:tcPr>
            <w:tcW w:w="1180" w:type="dxa"/>
            <w:vAlign w:val="bottom"/>
            <w:shd w:val="clear" w:color="auto" w:fill="EEEEEE"/>
          </w:tcPr>
          <w:p>
            <w:pPr>
              <w:spacing w:after="0"/>
              <w:rPr>
                <w:sz w:val="19"/>
                <w:szCs w:val="19"/>
                <w:color w:val="auto"/>
              </w:rPr>
            </w:pPr>
          </w:p>
        </w:tc>
        <w:tc>
          <w:tcPr>
            <w:tcW w:w="1280" w:type="dxa"/>
            <w:vAlign w:val="bottom"/>
            <w:shd w:val="clear" w:color="auto" w:fill="EEEEEE"/>
          </w:tcPr>
          <w:p>
            <w:pPr>
              <w:spacing w:after="0"/>
              <w:rPr>
                <w:sz w:val="19"/>
                <w:szCs w:val="19"/>
                <w:color w:val="auto"/>
              </w:rPr>
            </w:pPr>
          </w:p>
        </w:tc>
        <w:tc>
          <w:tcPr>
            <w:tcW w:w="1280" w:type="dxa"/>
            <w:vAlign w:val="bottom"/>
            <w:shd w:val="clear" w:color="auto" w:fill="EEEEEE"/>
          </w:tcPr>
          <w:p>
            <w:pPr>
              <w:spacing w:after="0"/>
              <w:rPr>
                <w:sz w:val="19"/>
                <w:szCs w:val="19"/>
                <w:color w:val="auto"/>
              </w:rPr>
            </w:pPr>
          </w:p>
        </w:tc>
        <w:tc>
          <w:tcPr>
            <w:tcW w:w="1220" w:type="dxa"/>
            <w:vAlign w:val="bottom"/>
            <w:shd w:val="clear" w:color="auto" w:fill="EEEEEE"/>
          </w:tcPr>
          <w:p>
            <w:pPr>
              <w:spacing w:after="0"/>
              <w:rPr>
                <w:sz w:val="19"/>
                <w:szCs w:val="19"/>
                <w:color w:val="auto"/>
              </w:rPr>
            </w:pPr>
          </w:p>
        </w:tc>
      </w:tr>
      <w:tr>
        <w:trPr>
          <w:trHeight w:val="19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Overview:</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36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$345,744</w:t>
            </w:r>
          </w:p>
        </w:tc>
        <w:tc>
          <w:tcPr>
            <w:tcW w:w="12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$334,406</w:t>
            </w:r>
          </w:p>
        </w:tc>
        <w:tc>
          <w:tcPr>
            <w:tcW w:w="11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2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$1,039,451</w:t>
            </w:r>
          </w:p>
        </w:tc>
        <w:tc>
          <w:tcPr>
            <w:tcW w:w="12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$1,005,869</w:t>
            </w:r>
          </w:p>
        </w:tc>
        <w:tc>
          <w:tcPr>
            <w:tcW w:w="1220" w:type="dxa"/>
            <w:vAlign w:val="bottom"/>
            <w:shd w:val="clear" w:color="auto" w:fill="EEEEEE"/>
          </w:tcPr>
          <w:p>
            <w:pPr>
              <w:jc w:val="right"/>
              <w:ind w:right="408"/>
              <w:spacing w:after="0"/>
              <w:rPr>
                <w:sz w:val="20"/>
                <w:szCs w:val="20"/>
                <w:color w:val="auto"/>
              </w:rPr>
            </w:pPr>
            <w:r>
              <w:rPr>
                <w:rFonts w:ascii="Times New Roman" w:cs="Times New Roman" w:eastAsia="Times New Roman" w:hAnsi="Times New Roman"/>
                <w:sz w:val="14"/>
                <w:szCs w:val="14"/>
                <w:color w:val="auto"/>
              </w:rPr>
              <w:t>3.3%</w:t>
            </w: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Hotel Revenue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$344,727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$334,792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$1,039,353</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$1,007,433</w:t>
            </w:r>
          </w:p>
        </w:tc>
        <w:tc>
          <w:tcPr>
            <w:tcW w:w="12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3.2%</w:t>
            </w:r>
          </w:p>
        </w:tc>
      </w:tr>
      <w:tr>
        <w:trPr>
          <w:trHeight w:val="223"/>
        </w:trPr>
        <w:tc>
          <w:tcPr>
            <w:tcW w:w="3680" w:type="dxa"/>
            <w:vAlign w:val="bottom"/>
            <w:shd w:val="clear" w:color="auto" w:fill="EEEEEE"/>
          </w:tcPr>
          <w:p>
            <w:pPr>
              <w:spacing w:after="0"/>
              <w:rPr>
                <w:sz w:val="19"/>
                <w:szCs w:val="19"/>
                <w:color w:val="auto"/>
              </w:rPr>
            </w:pPr>
          </w:p>
        </w:tc>
        <w:tc>
          <w:tcPr>
            <w:tcW w:w="1240" w:type="dxa"/>
            <w:vAlign w:val="bottom"/>
            <w:shd w:val="clear" w:color="auto" w:fill="EEEEEE"/>
          </w:tcPr>
          <w:p>
            <w:pPr>
              <w:spacing w:after="0"/>
              <w:rPr>
                <w:sz w:val="19"/>
                <w:szCs w:val="19"/>
                <w:color w:val="auto"/>
              </w:rPr>
            </w:pPr>
          </w:p>
        </w:tc>
        <w:tc>
          <w:tcPr>
            <w:tcW w:w="1260" w:type="dxa"/>
            <w:vAlign w:val="bottom"/>
            <w:shd w:val="clear" w:color="auto" w:fill="EEEEEE"/>
          </w:tcPr>
          <w:p>
            <w:pPr>
              <w:spacing w:after="0"/>
              <w:rPr>
                <w:sz w:val="19"/>
                <w:szCs w:val="19"/>
                <w:color w:val="auto"/>
              </w:rPr>
            </w:pPr>
          </w:p>
        </w:tc>
        <w:tc>
          <w:tcPr>
            <w:tcW w:w="1180" w:type="dxa"/>
            <w:vAlign w:val="bottom"/>
            <w:shd w:val="clear" w:color="auto" w:fill="EEEEEE"/>
          </w:tcPr>
          <w:p>
            <w:pPr>
              <w:spacing w:after="0"/>
              <w:rPr>
                <w:sz w:val="19"/>
                <w:szCs w:val="19"/>
                <w:color w:val="auto"/>
              </w:rPr>
            </w:pPr>
          </w:p>
        </w:tc>
        <w:tc>
          <w:tcPr>
            <w:tcW w:w="1280" w:type="dxa"/>
            <w:vAlign w:val="bottom"/>
            <w:shd w:val="clear" w:color="auto" w:fill="EEEEEE"/>
          </w:tcPr>
          <w:p>
            <w:pPr>
              <w:spacing w:after="0"/>
              <w:rPr>
                <w:sz w:val="19"/>
                <w:szCs w:val="19"/>
                <w:color w:val="auto"/>
              </w:rPr>
            </w:pPr>
          </w:p>
        </w:tc>
        <w:tc>
          <w:tcPr>
            <w:tcW w:w="1280" w:type="dxa"/>
            <w:vAlign w:val="bottom"/>
            <w:shd w:val="clear" w:color="auto" w:fill="EEEEEE"/>
          </w:tcPr>
          <w:p>
            <w:pPr>
              <w:spacing w:after="0"/>
              <w:rPr>
                <w:sz w:val="19"/>
                <w:szCs w:val="19"/>
                <w:color w:val="auto"/>
              </w:rPr>
            </w:pPr>
          </w:p>
        </w:tc>
        <w:tc>
          <w:tcPr>
            <w:tcW w:w="1220" w:type="dxa"/>
            <w:vAlign w:val="bottom"/>
            <w:shd w:val="clear" w:color="auto" w:fill="EEEEEE"/>
          </w:tcPr>
          <w:p>
            <w:pPr>
              <w:spacing w:after="0"/>
              <w:rPr>
                <w:sz w:val="19"/>
                <w:szCs w:val="19"/>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$20,643</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$16,343</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26.3%</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$62,680</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$68,577</w:t>
            </w:r>
          </w:p>
        </w:tc>
        <w:tc>
          <w:tcPr>
            <w:tcW w:w="12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(8.6)%</w:t>
            </w:r>
          </w:p>
        </w:tc>
      </w:tr>
      <w:tr>
        <w:trPr>
          <w:trHeight w:val="223"/>
        </w:trPr>
        <w:tc>
          <w:tcPr>
            <w:tcW w:w="3680" w:type="dxa"/>
            <w:vAlign w:val="bottom"/>
            <w:shd w:val="clear" w:color="auto" w:fill="EEEEEE"/>
          </w:tcPr>
          <w:p>
            <w:pPr>
              <w:spacing w:after="0"/>
              <w:rPr>
                <w:sz w:val="19"/>
                <w:szCs w:val="19"/>
                <w:color w:val="auto"/>
              </w:rPr>
            </w:pPr>
          </w:p>
        </w:tc>
        <w:tc>
          <w:tcPr>
            <w:tcW w:w="1240" w:type="dxa"/>
            <w:vAlign w:val="bottom"/>
            <w:shd w:val="clear" w:color="auto" w:fill="EEEEEE"/>
          </w:tcPr>
          <w:p>
            <w:pPr>
              <w:spacing w:after="0"/>
              <w:rPr>
                <w:sz w:val="19"/>
                <w:szCs w:val="19"/>
                <w:color w:val="auto"/>
              </w:rPr>
            </w:pPr>
          </w:p>
        </w:tc>
        <w:tc>
          <w:tcPr>
            <w:tcW w:w="1260" w:type="dxa"/>
            <w:vAlign w:val="bottom"/>
            <w:shd w:val="clear" w:color="auto" w:fill="EEEEEE"/>
          </w:tcPr>
          <w:p>
            <w:pPr>
              <w:spacing w:after="0"/>
              <w:rPr>
                <w:sz w:val="19"/>
                <w:szCs w:val="19"/>
                <w:color w:val="auto"/>
              </w:rPr>
            </w:pPr>
          </w:p>
        </w:tc>
        <w:tc>
          <w:tcPr>
            <w:tcW w:w="1180" w:type="dxa"/>
            <w:vAlign w:val="bottom"/>
            <w:shd w:val="clear" w:color="auto" w:fill="EEEEEE"/>
          </w:tcPr>
          <w:p>
            <w:pPr>
              <w:spacing w:after="0"/>
              <w:rPr>
                <w:sz w:val="19"/>
                <w:szCs w:val="19"/>
                <w:color w:val="auto"/>
              </w:rPr>
            </w:pPr>
          </w:p>
        </w:tc>
        <w:tc>
          <w:tcPr>
            <w:tcW w:w="1280" w:type="dxa"/>
            <w:vAlign w:val="bottom"/>
            <w:shd w:val="clear" w:color="auto" w:fill="EEEEEE"/>
          </w:tcPr>
          <w:p>
            <w:pPr>
              <w:spacing w:after="0"/>
              <w:rPr>
                <w:sz w:val="19"/>
                <w:szCs w:val="19"/>
                <w:color w:val="auto"/>
              </w:rPr>
            </w:pPr>
          </w:p>
        </w:tc>
        <w:tc>
          <w:tcPr>
            <w:tcW w:w="1280" w:type="dxa"/>
            <w:vAlign w:val="bottom"/>
            <w:shd w:val="clear" w:color="auto" w:fill="EEEEEE"/>
          </w:tcPr>
          <w:p>
            <w:pPr>
              <w:spacing w:after="0"/>
              <w:rPr>
                <w:sz w:val="19"/>
                <w:szCs w:val="19"/>
                <w:color w:val="auto"/>
              </w:rPr>
            </w:pPr>
          </w:p>
        </w:tc>
        <w:tc>
          <w:tcPr>
            <w:tcW w:w="1220" w:type="dxa"/>
            <w:vAlign w:val="bottom"/>
            <w:shd w:val="clear" w:color="auto" w:fill="EEEEEE"/>
          </w:tcPr>
          <w:p>
            <w:pPr>
              <w:spacing w:after="0"/>
              <w:rPr>
                <w:sz w:val="19"/>
                <w:szCs w:val="19"/>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Hotel EBITDA</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$100,687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$98,156</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$307,638</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$312,265</w:t>
            </w:r>
          </w:p>
        </w:tc>
        <w:tc>
          <w:tcPr>
            <w:tcW w:w="12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36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Comparable Hotel EBITDA Margin</w:t>
            </w:r>
          </w:p>
        </w:tc>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99"/>
              </w:rPr>
              <w:t>29.2%</w:t>
            </w:r>
          </w:p>
        </w:tc>
        <w:tc>
          <w:tcPr>
            <w:tcW w:w="12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99"/>
              </w:rPr>
              <w:t>29.3%</w:t>
            </w:r>
          </w:p>
        </w:tc>
        <w:tc>
          <w:tcPr>
            <w:tcW w:w="118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4"/>
                <w:szCs w:val="14"/>
                <w:color w:val="auto"/>
              </w:rPr>
              <w:t>(11) bps</w:t>
            </w:r>
          </w:p>
        </w:tc>
        <w:tc>
          <w:tcPr>
            <w:tcW w:w="12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29.6%</w:t>
            </w:r>
          </w:p>
        </w:tc>
        <w:tc>
          <w:tcPr>
            <w:tcW w:w="12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31.0%</w:t>
            </w:r>
          </w:p>
        </w:tc>
        <w:tc>
          <w:tcPr>
            <w:tcW w:w="1220" w:type="dxa"/>
            <w:vAlign w:val="bottom"/>
            <w:shd w:val="clear" w:color="auto" w:fill="EEEEEE"/>
          </w:tcPr>
          <w:p>
            <w:pPr>
              <w:jc w:val="right"/>
              <w:ind w:right="288"/>
              <w:spacing w:after="0"/>
              <w:rPr>
                <w:sz w:val="20"/>
                <w:szCs w:val="20"/>
                <w:color w:val="auto"/>
              </w:rPr>
            </w:pPr>
            <w:r>
              <w:rPr>
                <w:rFonts w:ascii="Times New Roman" w:cs="Times New Roman" w:eastAsia="Times New Roman" w:hAnsi="Times New Roman"/>
                <w:sz w:val="14"/>
                <w:szCs w:val="14"/>
                <w:color w:val="auto"/>
              </w:rPr>
              <w:t>(140) bps</w:t>
            </w: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$91,927</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$88,767</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$280,494</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$285,281</w:t>
            </w:r>
          </w:p>
        </w:tc>
        <w:tc>
          <w:tcPr>
            <w:tcW w:w="12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(1.7)%</w:t>
            </w:r>
          </w:p>
        </w:tc>
      </w:tr>
      <w:tr>
        <w:trPr>
          <w:trHeight w:val="223"/>
        </w:trPr>
        <w:tc>
          <w:tcPr>
            <w:tcW w:w="3680" w:type="dxa"/>
            <w:vAlign w:val="bottom"/>
            <w:shd w:val="clear" w:color="auto" w:fill="EEEEEE"/>
          </w:tcPr>
          <w:p>
            <w:pPr>
              <w:spacing w:after="0"/>
              <w:rPr>
                <w:sz w:val="19"/>
                <w:szCs w:val="19"/>
                <w:color w:val="auto"/>
              </w:rPr>
            </w:pPr>
          </w:p>
        </w:tc>
        <w:tc>
          <w:tcPr>
            <w:tcW w:w="1240" w:type="dxa"/>
            <w:vAlign w:val="bottom"/>
            <w:shd w:val="clear" w:color="auto" w:fill="EEEEEE"/>
          </w:tcPr>
          <w:p>
            <w:pPr>
              <w:spacing w:after="0"/>
              <w:rPr>
                <w:sz w:val="19"/>
                <w:szCs w:val="19"/>
                <w:color w:val="auto"/>
              </w:rPr>
            </w:pPr>
          </w:p>
        </w:tc>
        <w:tc>
          <w:tcPr>
            <w:tcW w:w="1260" w:type="dxa"/>
            <w:vAlign w:val="bottom"/>
            <w:shd w:val="clear" w:color="auto" w:fill="EEEEEE"/>
          </w:tcPr>
          <w:p>
            <w:pPr>
              <w:spacing w:after="0"/>
              <w:rPr>
                <w:sz w:val="19"/>
                <w:szCs w:val="19"/>
                <w:color w:val="auto"/>
              </w:rPr>
            </w:pPr>
          </w:p>
        </w:tc>
        <w:tc>
          <w:tcPr>
            <w:tcW w:w="1180" w:type="dxa"/>
            <w:vAlign w:val="bottom"/>
            <w:shd w:val="clear" w:color="auto" w:fill="EEEEEE"/>
          </w:tcPr>
          <w:p>
            <w:pPr>
              <w:spacing w:after="0"/>
              <w:rPr>
                <w:sz w:val="19"/>
                <w:szCs w:val="19"/>
                <w:color w:val="auto"/>
              </w:rPr>
            </w:pPr>
          </w:p>
        </w:tc>
        <w:tc>
          <w:tcPr>
            <w:tcW w:w="1280" w:type="dxa"/>
            <w:vAlign w:val="bottom"/>
            <w:shd w:val="clear" w:color="auto" w:fill="EEEEEE"/>
          </w:tcPr>
          <w:p>
            <w:pPr>
              <w:spacing w:after="0"/>
              <w:rPr>
                <w:sz w:val="19"/>
                <w:szCs w:val="19"/>
                <w:color w:val="auto"/>
              </w:rPr>
            </w:pPr>
          </w:p>
        </w:tc>
        <w:tc>
          <w:tcPr>
            <w:tcW w:w="1280" w:type="dxa"/>
            <w:vAlign w:val="bottom"/>
            <w:shd w:val="clear" w:color="auto" w:fill="EEEEEE"/>
          </w:tcPr>
          <w:p>
            <w:pPr>
              <w:spacing w:after="0"/>
              <w:rPr>
                <w:sz w:val="19"/>
                <w:szCs w:val="19"/>
                <w:color w:val="auto"/>
              </w:rPr>
            </w:pPr>
          </w:p>
        </w:tc>
        <w:tc>
          <w:tcPr>
            <w:tcW w:w="1220" w:type="dxa"/>
            <w:vAlign w:val="bottom"/>
            <w:shd w:val="clear" w:color="auto" w:fill="EEEEEE"/>
          </w:tcPr>
          <w:p>
            <w:pPr>
              <w:spacing w:after="0"/>
              <w:rPr>
                <w:sz w:val="19"/>
                <w:szCs w:val="19"/>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FFO</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$61,155</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$63,092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$191,634</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$207,009</w:t>
            </w:r>
          </w:p>
        </w:tc>
        <w:tc>
          <w:tcPr>
            <w:tcW w:w="12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(7.4)%</w:t>
            </w:r>
          </w:p>
        </w:tc>
      </w:tr>
      <w:tr>
        <w:trPr>
          <w:trHeight w:val="210"/>
        </w:trPr>
        <w:tc>
          <w:tcPr>
            <w:tcW w:w="36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Adjusted FFO Per Diluted Common Share and Unit</w:t>
            </w:r>
          </w:p>
        </w:tc>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$0.40</w:t>
            </w:r>
          </w:p>
        </w:tc>
        <w:tc>
          <w:tcPr>
            <w:tcW w:w="12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$0.40</w:t>
            </w:r>
          </w:p>
        </w:tc>
        <w:tc>
          <w:tcPr>
            <w:tcW w:w="11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12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$1.24</w:t>
            </w:r>
          </w:p>
        </w:tc>
        <w:tc>
          <w:tcPr>
            <w:tcW w:w="12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1220" w:type="dxa"/>
            <w:vAlign w:val="bottom"/>
            <w:shd w:val="clear" w:color="auto" w:fill="EEEEEE"/>
          </w:tcPr>
          <w:p>
            <w:pPr>
              <w:jc w:val="right"/>
              <w:ind w:right="408"/>
              <w:spacing w:after="0"/>
              <w:rPr>
                <w:sz w:val="20"/>
                <w:szCs w:val="20"/>
                <w:color w:val="auto"/>
              </w:rPr>
            </w:pPr>
            <w:r>
              <w:rPr>
                <w:rFonts w:ascii="Times New Roman" w:cs="Times New Roman" w:eastAsia="Times New Roman" w:hAnsi="Times New Roman"/>
                <w:sz w:val="14"/>
                <w:szCs w:val="14"/>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-2357120</wp:posOffset>
            </wp:positionV>
            <wp:extent cx="4732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Comparable statistics reflect the Company's 95 hotel portfolio owned as of September 30,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Disposition</w:t>
      </w:r>
    </w:p>
    <w:p>
      <w:pPr>
        <w:spacing w:after="0" w:line="18" w:lineRule="exact"/>
        <w:rPr>
          <w:sz w:val="20"/>
          <w:szCs w:val="20"/>
          <w:color w:val="auto"/>
        </w:rPr>
      </w:pPr>
    </w:p>
    <w:p>
      <w:pPr>
        <w:ind w:right="420"/>
        <w:spacing w:after="0" w:line="248" w:lineRule="auto"/>
        <w:rPr>
          <w:sz w:val="20"/>
          <w:szCs w:val="20"/>
          <w:color w:val="auto"/>
        </w:rPr>
      </w:pPr>
      <w:r>
        <w:rPr>
          <w:rFonts w:ascii="Times New Roman" w:cs="Times New Roman" w:eastAsia="Times New Roman" w:hAnsi="Times New Roman"/>
          <w:sz w:val="22"/>
          <w:szCs w:val="22"/>
          <w:color w:val="auto"/>
        </w:rPr>
        <w:t>During the third quarter of 2024, the Company sold one non-core hotel in Denver, Colorado for $12.7 million and recorded a gain-on-sale of $4.8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Share Repurchases</w:t>
      </w:r>
    </w:p>
    <w:p>
      <w:pPr>
        <w:spacing w:after="0" w:line="18" w:lineRule="exact"/>
        <w:rPr>
          <w:sz w:val="20"/>
          <w:szCs w:val="20"/>
          <w:color w:val="auto"/>
        </w:rPr>
      </w:pPr>
    </w:p>
    <w:p>
      <w:pPr>
        <w:jc w:val="both"/>
        <w:ind w:right="380"/>
        <w:spacing w:after="0"/>
        <w:rPr>
          <w:sz w:val="20"/>
          <w:szCs w:val="20"/>
          <w:color w:val="auto"/>
        </w:rPr>
      </w:pPr>
      <w:r>
        <w:rPr>
          <w:rFonts w:ascii="Times New Roman" w:cs="Times New Roman" w:eastAsia="Times New Roman" w:hAnsi="Times New Roman"/>
          <w:sz w:val="22"/>
          <w:szCs w:val="22"/>
          <w:color w:val="auto"/>
        </w:rPr>
        <w:t>During the third quarter, the Company repurchased 1.6 million common shares for approximately $14.8 million at an average price of $9.21. Year-to-date, the Company has repurchased 2.2 million common shares for approximately $20.7 million at an average price of $9.28 recycling proceeds from the sale of non-core assets this year. As of November 6, 2024, the Company's 2024 share repurchase program has a remaining capacity of $229.3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Balance Sheet</w:t>
      </w:r>
    </w:p>
    <w:p>
      <w:pPr>
        <w:spacing w:after="0" w:line="18"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As of September 30, 2024, the Company had approximately $885.4 million of total liquidity, comprised of approximately $385.4 million of unrestricted cash and $500.0 million available under its revolving credit facility (the "Revolver"), and $2.2 billion of debt outstanding.</w:t>
      </w:r>
    </w:p>
    <w:p>
      <w:pPr>
        <w:spacing w:after="0" w:line="20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September 2024, the Company entered into a new $500.0 million unsecured term loan maturing in September 2027, with two one-year extension options. The proceeds from the new loan were used to repay the existing $400.0 million term loan due to mature in May 2025 and $100.0 million of the outstanding borrowings under the Revolver. During the third quarter, the Company also executed several interest rate swaps below current prevailing rates.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20"/>
          </w:cols>
          <w:pgMar w:left="320" w:top="1440" w:right="359" w:bottom="1440" w:gutter="0" w:footer="0" w:header="0"/>
          <w:type w:val="continuous"/>
        </w:sectPr>
      </w:pPr>
    </w:p>
    <w:bookmarkStart w:id="4" w:name="page5"/>
    <w:bookmarkEnd w:id="4"/>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Dividends</w:t>
      </w:r>
    </w:p>
    <w:p>
      <w:pPr>
        <w:spacing w:after="0" w:line="18"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The Company’s Board of Trustees had previously declared a third quarter cash dividend of $0.15 per common share of beneficial interest of the Company, representing a 50% increase from the prior quarter. The dividend was paid on October 15, 2024 to shareholders of record as of September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Company's Board of Trustees declared a third quarter cash dividend of $0.4875 on the Company’s Series A Preferred Shares.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dividend was paid on October 31, 2024 to shareholders of record as of September 30,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 Update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is reaffirming its prior full-year outlook for all assets owned as of November 6, 2024.</w:t>
      </w:r>
    </w:p>
    <w:p>
      <w:pPr>
        <w:spacing w:after="0" w:line="277" w:lineRule="exact"/>
        <w:rPr>
          <w:sz w:val="20"/>
          <w:szCs w:val="20"/>
          <w:color w:val="auto"/>
        </w:rPr>
      </w:pPr>
    </w:p>
    <w:tbl>
      <w:tblPr>
        <w:tblLayout w:type="fixed"/>
        <w:tblInd w:w="2580" w:type="dxa"/>
        <w:tblCellMar>
          <w:top w:w="0" w:type="dxa"/>
          <w:left w:w="0" w:type="dxa"/>
          <w:bottom w:w="0" w:type="dxa"/>
          <w:right w:w="0" w:type="dxa"/>
        </w:tblCellMar>
      </w:tblPr>
      <w:tr>
        <w:trPr>
          <w:trHeight w:val="257"/>
        </w:trPr>
        <w:tc>
          <w:tcPr>
            <w:tcW w:w="3640" w:type="dxa"/>
            <w:vAlign w:val="bottom"/>
            <w:shd w:val="clear" w:color="auto" w:fill="162835"/>
          </w:tcPr>
          <w:p>
            <w:pPr>
              <w:spacing w:after="0"/>
              <w:rPr>
                <w:sz w:val="22"/>
                <w:szCs w:val="22"/>
                <w:color w:val="auto"/>
              </w:rPr>
            </w:pPr>
          </w:p>
        </w:tc>
        <w:tc>
          <w:tcPr>
            <w:tcW w:w="2440" w:type="dxa"/>
            <w:vAlign w:val="bottom"/>
            <w:shd w:val="clear" w:color="auto" w:fill="162835"/>
          </w:tcPr>
          <w:p>
            <w:pPr>
              <w:jc w:val="center"/>
              <w:ind w:left="130"/>
              <w:spacing w:after="0"/>
              <w:rPr>
                <w:sz w:val="20"/>
                <w:szCs w:val="20"/>
                <w:color w:val="auto"/>
              </w:rPr>
            </w:pPr>
            <w:r>
              <w:rPr>
                <w:rFonts w:ascii="Times New Roman" w:cs="Times New Roman" w:eastAsia="Times New Roman" w:hAnsi="Times New Roman"/>
                <w:sz w:val="18"/>
                <w:szCs w:val="18"/>
                <w:b w:val="1"/>
                <w:bCs w:val="1"/>
                <w:color w:val="FFFFFF"/>
                <w:w w:val="99"/>
              </w:rPr>
              <w:t>FY 2024 (1)</w:t>
            </w:r>
          </w:p>
        </w:tc>
      </w:tr>
      <w:tr>
        <w:trPr>
          <w:trHeight w:val="234"/>
        </w:trPr>
        <w:tc>
          <w:tcPr>
            <w:tcW w:w="3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Comparable RevPAR Growth</w:t>
            </w:r>
          </w:p>
        </w:tc>
        <w:tc>
          <w:tcPr>
            <w:tcW w:w="24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1.0% to 2.5%</w:t>
            </w:r>
          </w:p>
        </w:tc>
      </w:tr>
      <w:tr>
        <w:trPr>
          <w:trHeight w:val="22"/>
        </w:trPr>
        <w:tc>
          <w:tcPr>
            <w:tcW w:w="3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36"/>
        </w:trPr>
        <w:tc>
          <w:tcPr>
            <w:tcW w:w="3640" w:type="dxa"/>
            <w:vAlign w:val="bottom"/>
            <w:tcBorders>
              <w:bottom w:val="single" w:sz="8" w:color="DBDBDB"/>
            </w:tcBorders>
            <w:shd w:val="clear" w:color="auto" w:fill="DBDBDB"/>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Comparable Hotel EBITDA</w:t>
            </w:r>
          </w:p>
        </w:tc>
        <w:tc>
          <w:tcPr>
            <w:tcW w:w="2440" w:type="dxa"/>
            <w:vAlign w:val="bottom"/>
            <w:tcBorders>
              <w:bottom w:val="single" w:sz="8" w:color="DBDBDB"/>
            </w:tcBorders>
            <w:shd w:val="clear" w:color="auto" w:fill="DBDBDB"/>
          </w:tcPr>
          <w:p>
            <w:pPr>
              <w:jc w:val="center"/>
              <w:ind w:left="130"/>
              <w:spacing w:after="0"/>
              <w:rPr>
                <w:sz w:val="20"/>
                <w:szCs w:val="20"/>
                <w:color w:val="auto"/>
              </w:rPr>
            </w:pPr>
            <w:r>
              <w:rPr>
                <w:rFonts w:ascii="Times New Roman" w:cs="Times New Roman" w:eastAsia="Times New Roman" w:hAnsi="Times New Roman"/>
                <w:sz w:val="18"/>
                <w:szCs w:val="18"/>
                <w:color w:val="auto"/>
                <w:w w:val="99"/>
              </w:rPr>
              <w:t>$382.5M to $402.5M</w:t>
            </w:r>
          </w:p>
        </w:tc>
      </w:tr>
      <w:tr>
        <w:trPr>
          <w:trHeight w:val="234"/>
        </w:trPr>
        <w:tc>
          <w:tcPr>
            <w:tcW w:w="3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Adjusted EBITDA</w:t>
            </w:r>
          </w:p>
        </w:tc>
        <w:tc>
          <w:tcPr>
            <w:tcW w:w="24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$346.5M to $366.5M</w:t>
            </w:r>
          </w:p>
        </w:tc>
      </w:tr>
      <w:tr>
        <w:trPr>
          <w:trHeight w:val="22"/>
        </w:trPr>
        <w:tc>
          <w:tcPr>
            <w:tcW w:w="3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34"/>
        </w:trPr>
        <w:tc>
          <w:tcPr>
            <w:tcW w:w="3640" w:type="dxa"/>
            <w:vAlign w:val="bottom"/>
            <w:shd w:val="clear" w:color="auto" w:fill="DBDBDB"/>
          </w:tcPr>
          <w:p>
            <w:pPr>
              <w:jc w:val="center"/>
              <w:ind w:left="130"/>
              <w:spacing w:after="0"/>
              <w:rPr>
                <w:sz w:val="20"/>
                <w:szCs w:val="20"/>
                <w:color w:val="auto"/>
              </w:rPr>
            </w:pPr>
            <w:r>
              <w:rPr>
                <w:rFonts w:ascii="Times New Roman" w:cs="Times New Roman" w:eastAsia="Times New Roman" w:hAnsi="Times New Roman"/>
                <w:sz w:val="18"/>
                <w:szCs w:val="18"/>
                <w:color w:val="auto"/>
                <w:w w:val="99"/>
              </w:rPr>
              <w:t>Adjusted FFO per diluted share</w:t>
            </w:r>
          </w:p>
        </w:tc>
        <w:tc>
          <w:tcPr>
            <w:tcW w:w="2440" w:type="dxa"/>
            <w:vAlign w:val="bottom"/>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color w:val="auto"/>
                <w:w w:val="99"/>
              </w:rPr>
              <w:t>$1.45 to $1.58</w:t>
            </w:r>
          </w:p>
        </w:tc>
      </w:tr>
      <w:tr>
        <w:trPr>
          <w:trHeight w:val="22"/>
        </w:trPr>
        <w:tc>
          <w:tcPr>
            <w:tcW w:w="3640" w:type="dxa"/>
            <w:vAlign w:val="bottom"/>
            <w:shd w:val="clear" w:color="auto" w:fill="DBDBDB"/>
          </w:tcPr>
          <w:p>
            <w:pPr>
              <w:spacing w:after="0" w:line="20" w:lineRule="exact"/>
              <w:rPr>
                <w:sz w:val="1"/>
                <w:szCs w:val="1"/>
                <w:color w:val="auto"/>
              </w:rPr>
            </w:pPr>
          </w:p>
        </w:tc>
        <w:tc>
          <w:tcPr>
            <w:tcW w:w="2440" w:type="dxa"/>
            <w:vAlign w:val="bottom"/>
            <w:shd w:val="clear" w:color="auto" w:fill="DBDBDB"/>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19"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FY Hotel EBITDA outlook incorporated $1.0 million from one hotel sold during the third quarter of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Additionally, the Company's full year 2024 outlook includes:</w:t>
      </w:r>
    </w:p>
    <w:p>
      <w:pPr>
        <w:spacing w:after="0" w:line="26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interest expense of $92.0 million to $94.0 million</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related to renovations in the range of $100.0 million to $120.0 million</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Diluted weighted average common shares and units of 154.5 million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Call</w:t>
      </w:r>
    </w:p>
    <w:p>
      <w:pPr>
        <w:spacing w:after="0" w:line="3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2"/>
          <w:szCs w:val="22"/>
          <w:color w:val="auto"/>
        </w:rPr>
        <w:t xml:space="preserve">The Company will conduct its quarterly analyst and investor conference call on November 7, 2024 at 12:00 p.m. (Eastern Time). The conference call can be accessed by dialing (877) 407-3982 or (201) 493-6780 for international participants and requesting RLJ Lodging Trust’s third quarter earnings conference call. Additionally, a live webcast of the conference call will be available through the Company’s website at http://www.rljlodgingtrust.com. A replay of the conference call webcast will be archived and available through the </w:t>
      </w:r>
      <w:r>
        <w:rPr>
          <w:rFonts w:ascii="Times New Roman" w:cs="Times New Roman" w:eastAsia="Times New Roman" w:hAnsi="Times New Roman"/>
          <w:sz w:val="22"/>
          <w:szCs w:val="22"/>
          <w:i w:val="1"/>
          <w:iCs w:val="1"/>
          <w:color w:val="auto"/>
        </w:rPr>
        <w:t>Investor Relations</w:t>
      </w:r>
      <w:r>
        <w:rPr>
          <w:rFonts w:ascii="Times New Roman" w:cs="Times New Roman" w:eastAsia="Times New Roman" w:hAnsi="Times New Roman"/>
          <w:sz w:val="22"/>
          <w:szCs w:val="22"/>
          <w:color w:val="auto"/>
        </w:rPr>
        <w:t xml:space="preserve"> section of the Company’s website for two weeks.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Supplemental Information</w:t>
      </w:r>
    </w:p>
    <w:p>
      <w:pPr>
        <w:spacing w:after="0" w:line="3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2"/>
          <w:szCs w:val="22"/>
          <w:color w:val="auto"/>
        </w:rPr>
        <w:t xml:space="preserve">Please refer to the presentation of supplemental information for additional detail and comparable operating statistics, which will be available through the </w:t>
      </w:r>
      <w:r>
        <w:rPr>
          <w:rFonts w:ascii="Times New Roman" w:cs="Times New Roman" w:eastAsia="Times New Roman" w:hAnsi="Times New Roman"/>
          <w:sz w:val="22"/>
          <w:szCs w:val="22"/>
          <w:i w:val="1"/>
          <w:iCs w:val="1"/>
          <w:color w:val="auto"/>
        </w:rPr>
        <w:t>Investor Relations</w:t>
      </w:r>
      <w:r>
        <w:rPr>
          <w:rFonts w:ascii="Times New Roman" w:cs="Times New Roman" w:eastAsia="Times New Roman" w:hAnsi="Times New Roman"/>
          <w:sz w:val="22"/>
          <w:szCs w:val="22"/>
          <w:color w:val="auto"/>
        </w:rPr>
        <w:t xml:space="preserve"> section of the Company's website.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Us</w:t>
      </w:r>
    </w:p>
    <w:p>
      <w:pPr>
        <w:spacing w:after="0" w:line="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RLJ Lodging Trust ("RLJ") is a self-advised, publicly traded real estate investment trust that owns 95 premium-branded, rooms-oriented, high-margin, urban-centric hotels located within the heart of demand locations. Our hotels are geographically diverse and concentrated in major urban markets that provide multiple demand generators from business, leisure, and other travelers.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1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i w:val="1"/>
          <w:iCs w:val="1"/>
          <w:color w:val="auto"/>
        </w:rPr>
        <w:t>This information contains certain statements, other than purely historical information, including estimates, projections, statements relating to the Company’s business plans, objectives and expected operating results, and the assumptions upon which those statements are based, that are “forward looking statements” within the meaning of the Private Securities Litigation Reform Act of 1995, Section 27A of the Securities Act of 1933, as amended, and Section 21E of the Securities Exchange Act of 1934, as amended. These forward-looking statements generally are identified by the use of the words “believe,” “project,” “expect,” “anticipate,” “estimate,” “plan,” “may,” “will,” “will continue,” “intend,” “should,” “may,” or similar expressions. Although the Company believes that the expectations reflected in such forward-looking statements are based upon reasonable assumptions, beliefs and expectations, such forward-looking statements are not predictions of future events or guarantees of future performance and our actual results could differ materially from those set forth in the forward-looking statements. Except as required by law, the Company undertakes no obligation to update or revise publicly any forward-looking statements, whether as a result of new information, future events or otherwise. The Company cautions investors not to place undue reliance on these forward-looking statements and urges investors to carefully review the disclosures the Company makes concerning risks and uncertainties in the sections entitled “Risk Factors,” “Forward-Looking Statements,” and “Management’s Discussion and Analysis of Financial Condition and Results of Operations” in the Company’s Annual Report on Form 10-K for the year ended December 31, 2023 and the Company's Quarterly Report on Form 10-Q for the quarter ended September 30, 2024, which will be filed on November 7, 2024, as well as risks, uncertainties and other factors discussed in other documents filed by the Company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Contact:</w:t>
      </w:r>
    </w:p>
    <w:p>
      <w:pPr>
        <w:spacing w:after="0" w:line="4"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Sean M. Mahoney, Executive Vice President and Chief Financial Officer – (301) 280-7774 </w:t>
      </w:r>
      <w:r>
        <w:rPr>
          <w:rFonts w:ascii="Times New Roman" w:cs="Times New Roman" w:eastAsia="Times New Roman" w:hAnsi="Times New Roman"/>
          <w:sz w:val="22"/>
          <w:szCs w:val="22"/>
          <w:i w:val="1"/>
          <w:iCs w:val="1"/>
          <w:color w:val="auto"/>
        </w:rPr>
        <w:t>For additional information or to receive press releases via email, please visit our website: https://www.rljlodgingtrust.com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6" w:name="page7"/>
    <w:bookmarkEnd w:id="6"/>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Non-GAAP and Accounting Commentary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Non-Generally Accepted Accounting Principles (“Non-GAAP”) Financial Measures</w:t>
      </w:r>
    </w:p>
    <w:p>
      <w:pPr>
        <w:spacing w:after="0" w:line="3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The Company considers the following non-GAAP financial measures useful to investors as key supplemental measures of its performance: (1) FFO, (2) Adjusted FFO, (3) EBITDA, (4) EBITDA</w:t>
      </w:r>
      <w:r>
        <w:rPr>
          <w:rFonts w:ascii="Times New Roman" w:cs="Times New Roman" w:eastAsia="Times New Roman" w:hAnsi="Times New Roman"/>
          <w:sz w:val="22"/>
          <w:szCs w:val="22"/>
          <w:i w:val="1"/>
          <w:iCs w:val="1"/>
          <w:color w:val="auto"/>
        </w:rPr>
        <w:t>re,</w:t>
      </w:r>
      <w:r>
        <w:rPr>
          <w:rFonts w:ascii="Times New Roman" w:cs="Times New Roman" w:eastAsia="Times New Roman" w:hAnsi="Times New Roman"/>
          <w:sz w:val="22"/>
          <w:szCs w:val="22"/>
          <w:color w:val="auto"/>
        </w:rPr>
        <w:t xml:space="preserve"> (5) Adjusted EBITDA, (6) Hotel EBITDA, and (7) Hotel EBITDA Margin. These Non-GAAP financial measures should be considered along with, but not as alternatives to, net income or loss as a measure of its operating performance. FFO, Adjusted FFO, EBITDA, EBITDA</w:t>
      </w:r>
      <w:r>
        <w:rPr>
          <w:rFonts w:ascii="Times New Roman" w:cs="Times New Roman" w:eastAsia="Times New Roman" w:hAnsi="Times New Roman"/>
          <w:sz w:val="22"/>
          <w:szCs w:val="22"/>
          <w:i w:val="1"/>
          <w:iCs w:val="1"/>
          <w:color w:val="auto"/>
        </w:rPr>
        <w:t>re</w:t>
      </w:r>
      <w:r>
        <w:rPr>
          <w:rFonts w:ascii="Times New Roman" w:cs="Times New Roman" w:eastAsia="Times New Roman" w:hAnsi="Times New Roman"/>
          <w:sz w:val="22"/>
          <w:szCs w:val="22"/>
          <w:color w:val="auto"/>
        </w:rPr>
        <w:t>, Adjusted EBITDA, Hotel EBITDA, and Hotel EBITDA Margin, as calculated by the Company, may not be comparable to other companies that do not define such terms exactly as the Company defines such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Funds From Operations (“FFO”)</w:t>
      </w:r>
    </w:p>
    <w:p>
      <w:pPr>
        <w:spacing w:after="0" w:line="3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color w:val="auto"/>
        </w:rPr>
        <w:t>The Company calculates Funds from Operations (“FFO”) in accordance with standards established by the National Association of Real Estate Investment Trusts, or NAREIT, which defines FFO as net income or loss (calculated in accordance with GAAP), excluding gains or losses from sales of real estate, impairment, the cumulative effect of changes in accounting principles, plus depreciation and amortization, and adjustments for unconsolidated partnerships and joint ventures. Historical cost accounting for real estate assets implicitly assumes that the value of real estate assets diminishes predictably over time. Since real estate values have instead historically risen or fallen with market conditions, most real estate industry investors consider FFO to be helpful in evaluating a real estate company’s operations. The Company believes that the presentation of FFO provides useful information to investors regarding the Company’s operating performance and can facilitate comparisons of operating performance between periods and between real estate investment trusts (“REITs”), even though FFO does not represent an amount that accrues directly to common shareholders.</w:t>
      </w:r>
    </w:p>
    <w:p>
      <w:pPr>
        <w:spacing w:after="0" w:line="231"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2"/>
          <w:szCs w:val="22"/>
          <w:color w:val="auto"/>
        </w:rPr>
        <w:t>The Company’s calculation of FFO may not be comparable to measures calculated by other companies who do not use the NAREIT definition of FFO or do not calculate FFO per diluted share in accordance with NAREIT guidance. Additionally, FFO may not be helpful when comparing the Company to non-REITs. The Company presents FFO attributable to common shareholders, which includes unitholders of limited partnership interest (“OP units”) in RLJ Lodging Trust, L.P., the Company’s operating partnership, because the OP units may be redeemed for common shares of the Company. The Company believes it is meaningful for the investor to understand FFO attributable to all common shares and OP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EBITDA and EBITDA</w:t>
      </w:r>
      <w:r>
        <w:rPr>
          <w:rFonts w:ascii="Times New Roman" w:cs="Times New Roman" w:eastAsia="Times New Roman" w:hAnsi="Times New Roman"/>
          <w:sz w:val="22"/>
          <w:szCs w:val="22"/>
          <w:b w:val="1"/>
          <w:bCs w:val="1"/>
          <w:i w:val="1"/>
          <w:iCs w:val="1"/>
          <w:u w:val="single" w:color="auto"/>
          <w:color w:val="auto"/>
        </w:rPr>
        <w:t>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Earnings Before Interest, Taxes, Depreciation, and Amortization (“EBITDA”) is defined as net income or loss excluding:</w:t>
      </w:r>
    </w:p>
    <w:p>
      <w:pPr>
        <w:spacing w:after="0" w:line="4" w:lineRule="exact"/>
        <w:rPr>
          <w:sz w:val="20"/>
          <w:szCs w:val="20"/>
          <w:color w:val="auto"/>
        </w:rPr>
      </w:pPr>
    </w:p>
    <w:p>
      <w:pPr>
        <w:ind w:right="60" w:firstLine="8"/>
        <w:spacing w:after="0" w:line="247" w:lineRule="auto"/>
        <w:tabs>
          <w:tab w:leader="none" w:pos="30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expense; (2) income tax expense; and (3) depreciation and amortization expense. The Company considers EBITDA useful to an investor in evaluating and facilitating comparisons of its operating performance between periods and between REITs by removing the impact of its capital structure (primarily interest expense) and asset base (primarily depreciation and amortization expense) from its operating results. In addition, EBITDA is used as one measure in determining the value of hotel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7" w:name="page8"/>
    <w:bookmarkEnd w:id="7"/>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ind w:right="80"/>
        <w:spacing w:after="0" w:line="269" w:lineRule="auto"/>
        <w:rPr>
          <w:sz w:val="20"/>
          <w:szCs w:val="20"/>
          <w:color w:val="auto"/>
        </w:rPr>
      </w:pPr>
      <w:r>
        <w:rPr>
          <w:rFonts w:ascii="Times New Roman" w:cs="Times New Roman" w:eastAsia="Times New Roman" w:hAnsi="Times New Roman"/>
          <w:sz w:val="21"/>
          <w:szCs w:val="21"/>
          <w:color w:val="auto"/>
        </w:rPr>
        <w:t>In addition to EBITDA, the Company presents EBITDA</w:t>
      </w:r>
      <w:r>
        <w:rPr>
          <w:rFonts w:ascii="Times New Roman" w:cs="Times New Roman" w:eastAsia="Times New Roman" w:hAnsi="Times New Roman"/>
          <w:sz w:val="21"/>
          <w:szCs w:val="21"/>
          <w:i w:val="1"/>
          <w:iCs w:val="1"/>
          <w:color w:val="auto"/>
        </w:rPr>
        <w:t>re</w:t>
      </w:r>
      <w:r>
        <w:rPr>
          <w:rFonts w:ascii="Times New Roman" w:cs="Times New Roman" w:eastAsia="Times New Roman" w:hAnsi="Times New Roman"/>
          <w:sz w:val="21"/>
          <w:szCs w:val="21"/>
          <w:color w:val="auto"/>
        </w:rPr>
        <w:t xml:space="preserve"> in accordance with NAREIT guidelines, which defines EBITDA</w:t>
      </w:r>
      <w:r>
        <w:rPr>
          <w:rFonts w:ascii="Times New Roman" w:cs="Times New Roman" w:eastAsia="Times New Roman" w:hAnsi="Times New Roman"/>
          <w:sz w:val="21"/>
          <w:szCs w:val="21"/>
          <w:i w:val="1"/>
          <w:iCs w:val="1"/>
          <w:color w:val="auto"/>
        </w:rPr>
        <w:t>re</w:t>
      </w:r>
      <w:r>
        <w:rPr>
          <w:rFonts w:ascii="Times New Roman" w:cs="Times New Roman" w:eastAsia="Times New Roman" w:hAnsi="Times New Roman"/>
          <w:sz w:val="21"/>
          <w:szCs w:val="21"/>
          <w:color w:val="auto"/>
        </w:rPr>
        <w:t xml:space="preserve"> as net income or loss (calculated in accordance with GAAP) excluding interest expense, income tax expense, depreciation and amortization expense, gains or losses from sales of real estate, impairment, and adjustments for unconsolidated joint ventures. The Company believes that the presentation of EBITDA</w:t>
      </w:r>
      <w:r>
        <w:rPr>
          <w:rFonts w:ascii="Times New Roman" w:cs="Times New Roman" w:eastAsia="Times New Roman" w:hAnsi="Times New Roman"/>
          <w:sz w:val="21"/>
          <w:szCs w:val="21"/>
          <w:i w:val="1"/>
          <w:iCs w:val="1"/>
          <w:color w:val="auto"/>
        </w:rPr>
        <w:t>re</w:t>
      </w:r>
      <w:r>
        <w:rPr>
          <w:rFonts w:ascii="Times New Roman" w:cs="Times New Roman" w:eastAsia="Times New Roman" w:hAnsi="Times New Roman"/>
          <w:sz w:val="21"/>
          <w:szCs w:val="21"/>
          <w:color w:val="auto"/>
        </w:rPr>
        <w:t xml:space="preserve"> provides useful information to investors regarding the Company's operating performance and can facilitate comparisons of operating performance between periods and between REITs.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Adjustments to FFO and EBITDA</w:t>
      </w:r>
    </w:p>
    <w:p>
      <w:pPr>
        <w:spacing w:after="0" w:line="3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The Company adjusts FFO, EBITDA, and EBITDA</w:t>
      </w:r>
      <w:r>
        <w:rPr>
          <w:rFonts w:ascii="Times New Roman" w:cs="Times New Roman" w:eastAsia="Times New Roman" w:hAnsi="Times New Roman"/>
          <w:sz w:val="22"/>
          <w:szCs w:val="22"/>
          <w:i w:val="1"/>
          <w:iCs w:val="1"/>
          <w:color w:val="auto"/>
        </w:rPr>
        <w:t>re</w:t>
      </w:r>
      <w:r>
        <w:rPr>
          <w:rFonts w:ascii="Times New Roman" w:cs="Times New Roman" w:eastAsia="Times New Roman" w:hAnsi="Times New Roman"/>
          <w:sz w:val="22"/>
          <w:szCs w:val="22"/>
          <w:color w:val="auto"/>
        </w:rPr>
        <w:t xml:space="preserve"> for certain items that the Company considers outside the normal course of operations. The Company believes that Adjusted FFO, Adjusted EBITDA, and Adjusted EBITDA</w:t>
      </w:r>
      <w:r>
        <w:rPr>
          <w:rFonts w:ascii="Times New Roman" w:cs="Times New Roman" w:eastAsia="Times New Roman" w:hAnsi="Times New Roman"/>
          <w:sz w:val="22"/>
          <w:szCs w:val="22"/>
          <w:i w:val="1"/>
          <w:iCs w:val="1"/>
          <w:color w:val="auto"/>
        </w:rPr>
        <w:t>re</w:t>
      </w:r>
      <w:r>
        <w:rPr>
          <w:rFonts w:ascii="Times New Roman" w:cs="Times New Roman" w:eastAsia="Times New Roman" w:hAnsi="Times New Roman"/>
          <w:sz w:val="22"/>
          <w:szCs w:val="22"/>
          <w:color w:val="auto"/>
        </w:rPr>
        <w:t xml:space="preserve"> provide useful supplemental information to investors regarding its ongoing operating performance that, when considered with net income or loss, FFO, EBITDA, and EBITDA</w:t>
      </w:r>
      <w:r>
        <w:rPr>
          <w:rFonts w:ascii="Times New Roman" w:cs="Times New Roman" w:eastAsia="Times New Roman" w:hAnsi="Times New Roman"/>
          <w:sz w:val="22"/>
          <w:szCs w:val="22"/>
          <w:i w:val="1"/>
          <w:iCs w:val="1"/>
          <w:color w:val="auto"/>
        </w:rPr>
        <w:t>re</w:t>
      </w:r>
      <w:r>
        <w:rPr>
          <w:rFonts w:ascii="Times New Roman" w:cs="Times New Roman" w:eastAsia="Times New Roman" w:hAnsi="Times New Roman"/>
          <w:sz w:val="22"/>
          <w:szCs w:val="22"/>
          <w:color w:val="auto"/>
        </w:rPr>
        <w:t>, are beneficial to an investor’s understanding of the Company's operating performance. The Company adjusts FFO, EBITDA, and EBITDA</w:t>
      </w:r>
      <w:r>
        <w:rPr>
          <w:rFonts w:ascii="Times New Roman" w:cs="Times New Roman" w:eastAsia="Times New Roman" w:hAnsi="Times New Roman"/>
          <w:sz w:val="22"/>
          <w:szCs w:val="22"/>
          <w:i w:val="1"/>
          <w:iCs w:val="1"/>
          <w:color w:val="auto"/>
        </w:rPr>
        <w:t>re</w:t>
      </w:r>
      <w:r>
        <w:rPr>
          <w:rFonts w:ascii="Times New Roman" w:cs="Times New Roman" w:eastAsia="Times New Roman" w:hAnsi="Times New Roman"/>
          <w:sz w:val="22"/>
          <w:szCs w:val="22"/>
          <w:color w:val="auto"/>
        </w:rPr>
        <w:t xml:space="preserve"> for the following items:</w:t>
      </w:r>
    </w:p>
    <w:p>
      <w:pPr>
        <w:spacing w:after="0" w:line="209"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2"/>
          <w:szCs w:val="22"/>
          <w:i w:val="1"/>
          <w:iCs w:val="1"/>
          <w:color w:val="auto"/>
        </w:rPr>
        <w:t xml:space="preserve">Transaction Costs: </w:t>
      </w:r>
      <w:r>
        <w:rPr>
          <w:rFonts w:ascii="Times New Roman" w:cs="Times New Roman" w:eastAsia="Times New Roman" w:hAnsi="Times New Roman"/>
          <w:sz w:val="22"/>
          <w:szCs w:val="22"/>
          <w:color w:val="auto"/>
        </w:rPr>
        <w:t>The Company excludes transaction costs expensed during the period</w:t>
      </w:r>
    </w:p>
    <w:p>
      <w:pPr>
        <w:spacing w:after="0" w:line="33"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2"/>
          <w:szCs w:val="22"/>
          <w:i w:val="1"/>
          <w:iCs w:val="1"/>
          <w:color w:val="auto"/>
        </w:rPr>
        <w:t xml:space="preserve">Pre-Opening Costs: </w:t>
      </w:r>
      <w:r>
        <w:rPr>
          <w:rFonts w:ascii="Times New Roman" w:cs="Times New Roman" w:eastAsia="Times New Roman" w:hAnsi="Times New Roman"/>
          <w:sz w:val="22"/>
          <w:szCs w:val="22"/>
          <w:color w:val="auto"/>
        </w:rPr>
        <w:t>The Company excludes certain costs related to pre-opening of hotels</w:t>
      </w:r>
    </w:p>
    <w:p>
      <w:pPr>
        <w:spacing w:after="0" w:line="15" w:lineRule="exact"/>
        <w:rPr>
          <w:rFonts w:ascii="Times New Roman" w:cs="Times New Roman" w:eastAsia="Times New Roman" w:hAnsi="Times New Roman"/>
          <w:sz w:val="20"/>
          <w:szCs w:val="20"/>
          <w:i w:val="1"/>
          <w:iCs w:val="1"/>
          <w:color w:val="auto"/>
        </w:rPr>
      </w:pPr>
    </w:p>
    <w:p>
      <w:pPr>
        <w:ind w:left="660" w:hanging="328"/>
        <w:spacing w:after="0" w:line="247" w:lineRule="auto"/>
        <w:tabs>
          <w:tab w:leader="none" w:pos="655" w:val="left"/>
        </w:tabs>
        <w:numPr>
          <w:ilvl w:val="0"/>
          <w:numId w:val="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Non-Cash Expenses: </w:t>
      </w:r>
      <w:r>
        <w:rPr>
          <w:rFonts w:ascii="Times New Roman" w:cs="Times New Roman" w:eastAsia="Times New Roman" w:hAnsi="Times New Roman"/>
          <w:sz w:val="22"/>
          <w:szCs w:val="22"/>
          <w:color w:val="auto"/>
        </w:rPr>
        <w:t>The Company excludes the effect of certain non-cash items such as the amortization of share-based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non-cash income tax expense or benefit, and non-cash interest expense related to discontinued interest rate hedges</w:t>
      </w:r>
    </w:p>
    <w:p>
      <w:pPr>
        <w:spacing w:after="0" w:line="1" w:lineRule="exact"/>
        <w:rPr>
          <w:rFonts w:ascii="Times New Roman" w:cs="Times New Roman" w:eastAsia="Times New Roman" w:hAnsi="Times New Roman"/>
          <w:sz w:val="22"/>
          <w:szCs w:val="22"/>
          <w:i w:val="1"/>
          <w:iCs w:val="1"/>
          <w:color w:val="auto"/>
        </w:rPr>
      </w:pPr>
    </w:p>
    <w:p>
      <w:pPr>
        <w:ind w:left="660" w:right="340" w:hanging="328"/>
        <w:spacing w:after="0" w:line="248"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Non-Operational Expenses: </w:t>
      </w:r>
      <w:r>
        <w:rPr>
          <w:rFonts w:ascii="Times New Roman" w:cs="Times New Roman" w:eastAsia="Times New Roman" w:hAnsi="Times New Roman"/>
          <w:sz w:val="22"/>
          <w:szCs w:val="22"/>
          <w:color w:val="auto"/>
        </w:rPr>
        <w:t>The Company excludes the effect of certain non-operational expenses representing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and expenses outside the normal course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Hotel EBITDA and Hotel EBITDA Margin</w:t>
      </w:r>
    </w:p>
    <w:p>
      <w:pPr>
        <w:spacing w:after="0" w:line="3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1"/>
          <w:szCs w:val="21"/>
          <w:color w:val="auto"/>
        </w:rPr>
        <w:t>With respect to Consolidated Hotel EBITDA, the Company believes that excluding the effect of corporate-level expenses and certain non-cash items provides a more complete understanding of the operating results over which individual hotels and operators have direct control. The Company believes property-level results provide investors with supplemental information about the ongoing operational performance of the Company’s hotels and the effectiveness of third-party management companies.</w:t>
      </w:r>
    </w:p>
    <w:p>
      <w:pPr>
        <w:spacing w:after="0" w:line="20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Comparable Hotel EBITDA and Comparable Hotel EBITDA margin include prior ownership information provided by the sellers of the hotels for periods prior to our acquisition of the hotels and excludes results from sold hotels as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Comparable adjustments: Acquired hotel</w:t>
      </w:r>
    </w:p>
    <w:p>
      <w:pPr>
        <w:spacing w:after="0" w:line="32"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22"/>
          <w:szCs w:val="22"/>
          <w:color w:val="auto"/>
        </w:rPr>
        <w:t>For the three and nine months ended September 30, 2024 and 2023, Comparable adjustments included the following acquired hotel:</w:t>
      </w:r>
    </w:p>
    <w:p>
      <w:pPr>
        <w:spacing w:after="0" w:line="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Hotel Teatro acquired in June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Comparable adjustments: Sold hotels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the three and nine months ended September 30, 2024 and 2023, Comparable adjustments included the following sold hotels:</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Residence Inn Merrillville sold in May 2024</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Fairfield Inn &amp; Suites Denver Cherry Creek sold in September 2024</w:t>
      </w: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80"/>
          </w:cols>
          <w:pgMar w:left="320" w:top="1440" w:right="399" w:bottom="1440" w:gutter="0" w:footer="0" w:header="0"/>
        </w:sectPr>
      </w:pPr>
    </w:p>
    <w:bookmarkStart w:id="8" w:name="page9"/>
    <w:bookmarkEnd w:id="8"/>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share and per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840" w:type="dxa"/>
            <w:vAlign w:val="bottom"/>
            <w:shd w:val="clear" w:color="auto" w:fill="162835"/>
          </w:tcPr>
          <w:p>
            <w:pPr>
              <w:spacing w:after="0"/>
              <w:rPr>
                <w:sz w:val="17"/>
                <w:szCs w:val="17"/>
                <w:color w:val="auto"/>
              </w:rPr>
            </w:pPr>
          </w:p>
        </w:tc>
        <w:tc>
          <w:tcPr>
            <w:tcW w:w="140" w:type="dxa"/>
            <w:vAlign w:val="bottom"/>
            <w:shd w:val="clear" w:color="auto" w:fill="162835"/>
          </w:tcPr>
          <w:p>
            <w:pPr>
              <w:spacing w:after="0"/>
              <w:rPr>
                <w:sz w:val="17"/>
                <w:szCs w:val="17"/>
                <w:color w:val="auto"/>
              </w:rPr>
            </w:pPr>
          </w:p>
        </w:tc>
        <w:tc>
          <w:tcPr>
            <w:tcW w:w="1620" w:type="dxa"/>
            <w:vAlign w:val="bottom"/>
            <w:gridSpan w:val="2"/>
            <w:shd w:val="clear" w:color="auto" w:fill="162835"/>
          </w:tcPr>
          <w:p>
            <w:pPr>
              <w:ind w:left="60"/>
              <w:spacing w:after="0"/>
              <w:rPr>
                <w:sz w:val="20"/>
                <w:szCs w:val="20"/>
                <w:color w:val="auto"/>
              </w:rPr>
            </w:pPr>
            <w:r>
              <w:rPr>
                <w:rFonts w:ascii="Times New Roman" w:cs="Times New Roman" w:eastAsia="Times New Roman" w:hAnsi="Times New Roman"/>
                <w:sz w:val="14"/>
                <w:szCs w:val="14"/>
                <w:b w:val="1"/>
                <w:bCs w:val="1"/>
                <w:color w:val="FFFFFF"/>
              </w:rPr>
              <w:t>September 30, 2024</w:t>
            </w:r>
          </w:p>
        </w:tc>
        <w:tc>
          <w:tcPr>
            <w:tcW w:w="160" w:type="dxa"/>
            <w:vAlign w:val="bottom"/>
            <w:shd w:val="clear" w:color="auto" w:fill="162835"/>
          </w:tcPr>
          <w:p>
            <w:pPr>
              <w:spacing w:after="0"/>
              <w:rPr>
                <w:sz w:val="17"/>
                <w:szCs w:val="17"/>
                <w:color w:val="auto"/>
              </w:rPr>
            </w:pPr>
          </w:p>
        </w:tc>
        <w:tc>
          <w:tcPr>
            <w:tcW w:w="1440" w:type="dxa"/>
            <w:vAlign w:val="bottom"/>
            <w:shd w:val="clear" w:color="auto" w:fill="162835"/>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December 31, 2023</w:t>
            </w:r>
          </w:p>
        </w:tc>
        <w:tc>
          <w:tcPr>
            <w:tcW w:w="0" w:type="dxa"/>
            <w:vAlign w:val="bottom"/>
          </w:tcPr>
          <w:p>
            <w:pPr>
              <w:spacing w:after="0"/>
              <w:rPr>
                <w:sz w:val="1"/>
                <w:szCs w:val="1"/>
                <w:color w:val="auto"/>
              </w:rPr>
            </w:pPr>
          </w:p>
        </w:tc>
      </w:tr>
      <w:tr>
        <w:trPr>
          <w:trHeight w:val="203"/>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hotel properties,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4,257,199</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4,136,216</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14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7,237</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7,398</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385,384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516,675</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Restricted cash reserves</w:t>
            </w:r>
          </w:p>
        </w:tc>
        <w:tc>
          <w:tcPr>
            <w:tcW w:w="14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38,958</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38,652</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Hotel and other receivables, net of allowance of $294 and $265, respectively</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26,163</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14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129,526</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136,140</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Prepaid expense and other assets</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43,250</w:t>
            </w:r>
          </w:p>
        </w:tc>
        <w:tc>
          <w:tcPr>
            <w:tcW w:w="14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58,051</w:t>
            </w:r>
          </w:p>
        </w:tc>
        <w:tc>
          <w:tcPr>
            <w:tcW w:w="0" w:type="dxa"/>
            <w:vAlign w:val="bottom"/>
          </w:tcPr>
          <w:p>
            <w:pPr>
              <w:spacing w:after="0"/>
              <w:rPr>
                <w:sz w:val="1"/>
                <w:szCs w:val="1"/>
                <w:color w:val="auto"/>
              </w:rPr>
            </w:pPr>
          </w:p>
        </w:tc>
      </w:tr>
      <w:tr>
        <w:trPr>
          <w:trHeight w:val="228"/>
        </w:trPr>
        <w:tc>
          <w:tcPr>
            <w:tcW w:w="7840" w:type="dxa"/>
            <w:vAlign w:val="bottom"/>
            <w:tcBorders>
              <w:bottom w:val="single" w:sz="8" w:color="EEEEEE"/>
            </w:tcBorders>
            <w:shd w:val="clear" w:color="auto" w:fill="EEEEEE"/>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4,887,991</w:t>
            </w:r>
          </w:p>
        </w:tc>
        <w:tc>
          <w:tcPr>
            <w:tcW w:w="14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4,919,295</w:t>
            </w:r>
          </w:p>
        </w:tc>
        <w:tc>
          <w:tcPr>
            <w:tcW w:w="0" w:type="dxa"/>
            <w:vAlign w:val="bottom"/>
          </w:tcPr>
          <w:p>
            <w:pPr>
              <w:spacing w:after="0"/>
              <w:rPr>
                <w:sz w:val="1"/>
                <w:szCs w:val="1"/>
                <w:color w:val="auto"/>
              </w:rPr>
            </w:pPr>
          </w:p>
        </w:tc>
      </w:tr>
      <w:tr>
        <w:trPr>
          <w:trHeight w:val="20"/>
        </w:trPr>
        <w:tc>
          <w:tcPr>
            <w:tcW w:w="7840" w:type="dxa"/>
            <w:vAlign w:val="bottom"/>
            <w:tcBorders>
              <w:top w:val="single" w:sz="8" w:color="EEEEEE"/>
              <w:bottom w:val="single" w:sz="8" w:color="EEEEEE"/>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40" w:type="dxa"/>
            <w:vAlign w:val="bottom"/>
            <w:tcBorders>
              <w:top w:val="single" w:sz="8" w:color="EEEEEE"/>
              <w:bottom w:val="single" w:sz="8" w:color="auto"/>
            </w:tcBorders>
          </w:tcPr>
          <w:p>
            <w:pPr>
              <w:spacing w:after="0" w:line="20" w:lineRule="exact"/>
              <w:rPr>
                <w:sz w:val="1"/>
                <w:szCs w:val="1"/>
                <w:color w:val="auto"/>
              </w:rPr>
            </w:pPr>
          </w:p>
        </w:tc>
        <w:tc>
          <w:tcPr>
            <w:tcW w:w="1480" w:type="dxa"/>
            <w:vAlign w:val="bottom"/>
            <w:tcBorders>
              <w:top w:val="single" w:sz="8" w:color="EEEEEE"/>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bottom w:val="single" w:sz="8" w:color="auto"/>
            </w:tcBorders>
          </w:tcPr>
          <w:p>
            <w:pPr>
              <w:spacing w:after="0" w:line="20" w:lineRule="exact"/>
              <w:rPr>
                <w:sz w:val="1"/>
                <w:szCs w:val="1"/>
                <w:color w:val="auto"/>
              </w:rPr>
            </w:pPr>
          </w:p>
        </w:tc>
        <w:tc>
          <w:tcPr>
            <w:tcW w:w="1440" w:type="dxa"/>
            <w:vAlign w:val="bottom"/>
            <w:tcBorders>
              <w:top w:val="single" w:sz="8" w:color="EEEE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Debt, net</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2,218,826</w:t>
            </w: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2,220,778</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other liabilities</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154,933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147,819</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Advance deposits and deferred revenue</w:t>
            </w:r>
          </w:p>
        </w:tc>
        <w:tc>
          <w:tcPr>
            <w:tcW w:w="14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36,643</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32,281</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119,508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122,588</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14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12,114</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22,539</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Distributions payable</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30,431</w:t>
            </w:r>
          </w:p>
        </w:tc>
        <w:tc>
          <w:tcPr>
            <w:tcW w:w="14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0" w:type="dxa"/>
            <w:vAlign w:val="bottom"/>
          </w:tcPr>
          <w:p>
            <w:pPr>
              <w:spacing w:after="0"/>
              <w:rPr>
                <w:sz w:val="1"/>
                <w:szCs w:val="1"/>
                <w:color w:val="auto"/>
              </w:rPr>
            </w:pPr>
          </w:p>
        </w:tc>
      </w:tr>
      <w:tr>
        <w:trPr>
          <w:trHeight w:val="203"/>
        </w:trPr>
        <w:tc>
          <w:tcPr>
            <w:tcW w:w="78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shd w:val="clear" w:color="auto" w:fill="EEEEEE"/>
          </w:tcPr>
          <w:p>
            <w:pPr>
              <w:spacing w:after="0"/>
              <w:rPr>
                <w:sz w:val="17"/>
                <w:szCs w:val="17"/>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2,572,455</w:t>
            </w: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2,568,505</w:t>
            </w: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shares of beneficial interest, $0.01 par value, 50,000,000 shares authorized</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840" w:type="dxa"/>
            <w:vAlign w:val="bottom"/>
            <w:shd w:val="clear" w:color="auto" w:fill="EEEEEE"/>
          </w:tcPr>
          <w:p>
            <w:pPr>
              <w:ind w:left="140"/>
              <w:spacing w:after="0" w:line="147" w:lineRule="exact"/>
              <w:rPr>
                <w:sz w:val="20"/>
                <w:szCs w:val="20"/>
                <w:color w:val="auto"/>
              </w:rPr>
            </w:pPr>
            <w:r>
              <w:rPr>
                <w:rFonts w:ascii="Times New Roman" w:cs="Times New Roman" w:eastAsia="Times New Roman" w:hAnsi="Times New Roman"/>
                <w:sz w:val="14"/>
                <w:szCs w:val="14"/>
                <w:color w:val="auto"/>
              </w:rPr>
              <w:t>Series A Cumulative Convertible Preferred Shares, $0.01 par value, 12,950,000 shares authorized; 12,879,475 shares issued and</w:t>
            </w:r>
          </w:p>
        </w:tc>
        <w:tc>
          <w:tcPr>
            <w:tcW w:w="140" w:type="dxa"/>
            <w:vAlign w:val="bottom"/>
            <w:shd w:val="clear" w:color="auto" w:fill="EEEEEE"/>
          </w:tcPr>
          <w:p>
            <w:pPr>
              <w:spacing w:after="0"/>
              <w:rPr>
                <w:sz w:val="12"/>
                <w:szCs w:val="12"/>
                <w:color w:val="auto"/>
              </w:rPr>
            </w:pPr>
          </w:p>
        </w:tc>
        <w:tc>
          <w:tcPr>
            <w:tcW w:w="148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366,936</w:t>
            </w: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44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366,936</w:t>
            </w:r>
          </w:p>
        </w:tc>
        <w:tc>
          <w:tcPr>
            <w:tcW w:w="0" w:type="dxa"/>
            <w:vAlign w:val="bottom"/>
          </w:tcPr>
          <w:p>
            <w:pPr>
              <w:spacing w:after="0"/>
              <w:rPr>
                <w:sz w:val="1"/>
                <w:szCs w:val="1"/>
                <w:color w:val="auto"/>
              </w:rPr>
            </w:pPr>
          </w:p>
        </w:tc>
      </w:tr>
      <w:tr>
        <w:trPr>
          <w:trHeight w:val="198"/>
        </w:trPr>
        <w:tc>
          <w:tcPr>
            <w:tcW w:w="7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4"/>
                <w:szCs w:val="14"/>
                <w:color w:val="auto"/>
              </w:rPr>
              <w:t>outstanding, liquidation value of $328,266, at September 30, 2024 and December 31, 2023</w:t>
            </w:r>
          </w:p>
        </w:tc>
        <w:tc>
          <w:tcPr>
            <w:tcW w:w="140" w:type="dxa"/>
            <w:vAlign w:val="bottom"/>
            <w:shd w:val="clear" w:color="auto" w:fill="EEEEEE"/>
          </w:tcPr>
          <w:p>
            <w:pPr>
              <w:spacing w:after="0"/>
              <w:rPr>
                <w:sz w:val="17"/>
                <w:szCs w:val="17"/>
                <w:color w:val="auto"/>
              </w:rPr>
            </w:pPr>
          </w:p>
        </w:tc>
        <w:tc>
          <w:tcPr>
            <w:tcW w:w="1480" w:type="dxa"/>
            <w:vAlign w:val="bottom"/>
            <w:vMerge w:val="continue"/>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vMerge w:val="continue"/>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shares of beneficial interest, $0.01 par value, 450,000,000 shares authorized; 153,628,657 and 155,297,829 shares issued</w:t>
            </w:r>
          </w:p>
        </w:tc>
        <w:tc>
          <w:tcPr>
            <w:tcW w:w="1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193"/>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outstanding at September 30, 2024 and December 31, 2023, respectively</w:t>
            </w:r>
          </w:p>
        </w:tc>
        <w:tc>
          <w:tcPr>
            <w:tcW w:w="1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2,990,553</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3,000,894</w:t>
            </w:r>
          </w:p>
        </w:tc>
        <w:tc>
          <w:tcPr>
            <w:tcW w:w="0" w:type="dxa"/>
            <w:vAlign w:val="bottom"/>
          </w:tcPr>
          <w:p>
            <w:pPr>
              <w:spacing w:after="0"/>
              <w:rPr>
                <w:sz w:val="1"/>
                <w:szCs w:val="1"/>
                <w:color w:val="auto"/>
              </w:rPr>
            </w:pPr>
          </w:p>
        </w:tc>
      </w:tr>
      <w:tr>
        <w:trPr>
          <w:trHeight w:val="195"/>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in excess of net earnings</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(1,066,035)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(1,055,183)</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0" w:type="dxa"/>
            <w:vAlign w:val="bottom"/>
            <w:tcBorders>
              <w:bottom w:val="single" w:sz="8" w:color="auto"/>
            </w:tcBorders>
            <w:shd w:val="clear" w:color="auto" w:fill="EEEEEE"/>
          </w:tcPr>
          <w:p>
            <w:pPr>
              <w:spacing w:after="0"/>
              <w:rPr>
                <w:sz w:val="18"/>
                <w:szCs w:val="18"/>
                <w:color w:val="auto"/>
              </w:rPr>
            </w:pPr>
          </w:p>
        </w:tc>
        <w:tc>
          <w:tcPr>
            <w:tcW w:w="14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8,835</w:t>
            </w:r>
          </w:p>
        </w:tc>
        <w:tc>
          <w:tcPr>
            <w:tcW w:w="140" w:type="dxa"/>
            <w:vAlign w:val="bottom"/>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22,662</w:t>
            </w:r>
          </w:p>
        </w:tc>
        <w:tc>
          <w:tcPr>
            <w:tcW w:w="0" w:type="dxa"/>
            <w:vAlign w:val="bottom"/>
          </w:tcPr>
          <w:p>
            <w:pPr>
              <w:spacing w:after="0"/>
              <w:rPr>
                <w:sz w:val="1"/>
                <w:szCs w:val="1"/>
                <w:color w:val="auto"/>
              </w:rPr>
            </w:pPr>
          </w:p>
        </w:tc>
      </w:tr>
      <w:tr>
        <w:trPr>
          <w:trHeight w:val="189"/>
        </w:trPr>
        <w:tc>
          <w:tcPr>
            <w:tcW w:w="7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2,301,825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2,336,862</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 in the Operating Partnership</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0" w:type="dxa"/>
            <w:vAlign w:val="bottom"/>
          </w:tcPr>
          <w:p>
            <w:pPr>
              <w:spacing w:after="0"/>
              <w:rPr>
                <w:sz w:val="1"/>
                <w:szCs w:val="1"/>
                <w:color w:val="auto"/>
              </w:rPr>
            </w:pPr>
          </w:p>
        </w:tc>
      </w:tr>
      <w:tr>
        <w:trPr>
          <w:trHeight w:val="210"/>
        </w:trPr>
        <w:tc>
          <w:tcPr>
            <w:tcW w:w="7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4"/>
                <w:szCs w:val="14"/>
                <w:color w:val="auto"/>
              </w:rPr>
              <w:t>Noncontrolling interest in consolidated joint ventures</w:t>
            </w:r>
          </w:p>
        </w:tc>
        <w:tc>
          <w:tcPr>
            <w:tcW w:w="140" w:type="dxa"/>
            <w:vAlign w:val="bottom"/>
            <w:tcBorders>
              <w:bottom w:val="single" w:sz="8" w:color="auto"/>
            </w:tcBorders>
            <w:shd w:val="clear" w:color="auto" w:fill="EEEEEE"/>
          </w:tcPr>
          <w:p>
            <w:pPr>
              <w:spacing w:after="0"/>
              <w:rPr>
                <w:sz w:val="18"/>
                <w:szCs w:val="18"/>
                <w:color w:val="auto"/>
              </w:rPr>
            </w:pPr>
          </w:p>
        </w:tc>
        <w:tc>
          <w:tcPr>
            <w:tcW w:w="14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7,453</w:t>
            </w:r>
          </w:p>
        </w:tc>
        <w:tc>
          <w:tcPr>
            <w:tcW w:w="140" w:type="dxa"/>
            <w:vAlign w:val="bottom"/>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7,634</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EEEEEE"/>
            </w:tcBorders>
          </w:tcPr>
          <w:p>
            <w:pPr>
              <w:ind w:left="220"/>
              <w:spacing w:after="0"/>
              <w:rPr>
                <w:sz w:val="20"/>
                <w:szCs w:val="20"/>
                <w:color w:val="auto"/>
              </w:rPr>
            </w:pPr>
            <w:r>
              <w:rPr>
                <w:rFonts w:ascii="Times New Roman" w:cs="Times New Roman" w:eastAsia="Times New Roman" w:hAnsi="Times New Roman"/>
                <w:sz w:val="14"/>
                <w:szCs w:val="14"/>
                <w:color w:val="auto"/>
              </w:rPr>
              <w:t>Total noncontrolling interest</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13,711</w:t>
            </w:r>
          </w:p>
        </w:tc>
        <w:tc>
          <w:tcPr>
            <w:tcW w:w="140" w:type="dxa"/>
            <w:vAlign w:val="bottom"/>
            <w:tcBorders>
              <w:bottom w:val="single" w:sz="8" w:color="EEEEEE"/>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13,928</w:t>
            </w:r>
          </w:p>
        </w:tc>
        <w:tc>
          <w:tcPr>
            <w:tcW w:w="0" w:type="dxa"/>
            <w:vAlign w:val="bottom"/>
          </w:tcPr>
          <w:p>
            <w:pPr>
              <w:spacing w:after="0"/>
              <w:rPr>
                <w:sz w:val="1"/>
                <w:szCs w:val="1"/>
                <w:color w:val="auto"/>
              </w:rPr>
            </w:pPr>
          </w:p>
        </w:tc>
      </w:tr>
      <w:tr>
        <w:trPr>
          <w:trHeight w:val="196"/>
        </w:trPr>
        <w:tc>
          <w:tcPr>
            <w:tcW w:w="78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40" w:type="dxa"/>
            <w:vAlign w:val="bottom"/>
            <w:tcBorders>
              <w:bottom w:val="single" w:sz="8" w:color="auto"/>
            </w:tcBorders>
            <w:shd w:val="clear" w:color="auto" w:fill="EEEEEE"/>
          </w:tcPr>
          <w:p>
            <w:pPr>
              <w:spacing w:after="0"/>
              <w:rPr>
                <w:sz w:val="17"/>
                <w:szCs w:val="17"/>
                <w:color w:val="auto"/>
              </w:rPr>
            </w:pPr>
          </w:p>
        </w:tc>
        <w:tc>
          <w:tcPr>
            <w:tcW w:w="14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2,315,536</w:t>
            </w:r>
          </w:p>
        </w:tc>
        <w:tc>
          <w:tcPr>
            <w:tcW w:w="140" w:type="dxa"/>
            <w:vAlign w:val="bottom"/>
            <w:shd w:val="clear" w:color="auto" w:fill="EEEEEE"/>
          </w:tcPr>
          <w:p>
            <w:pPr>
              <w:spacing w:after="0"/>
              <w:rPr>
                <w:sz w:val="17"/>
                <w:szCs w:val="17"/>
                <w:color w:val="auto"/>
              </w:rPr>
            </w:pPr>
          </w:p>
        </w:tc>
        <w:tc>
          <w:tcPr>
            <w:tcW w:w="160" w:type="dxa"/>
            <w:vAlign w:val="bottom"/>
            <w:tcBorders>
              <w:bottom w:val="single" w:sz="8" w:color="auto"/>
            </w:tcBorders>
            <w:shd w:val="clear" w:color="auto" w:fill="EEEEEE"/>
          </w:tcPr>
          <w:p>
            <w:pPr>
              <w:spacing w:after="0"/>
              <w:rPr>
                <w:sz w:val="17"/>
                <w:szCs w:val="17"/>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2,350,790</w:t>
            </w:r>
          </w:p>
        </w:tc>
        <w:tc>
          <w:tcPr>
            <w:tcW w:w="0" w:type="dxa"/>
            <w:vAlign w:val="bottom"/>
          </w:tcPr>
          <w:p>
            <w:pPr>
              <w:spacing w:after="0"/>
              <w:rPr>
                <w:sz w:val="1"/>
                <w:szCs w:val="1"/>
                <w:color w:val="auto"/>
              </w:rPr>
            </w:pPr>
          </w:p>
        </w:tc>
      </w:tr>
      <w:tr>
        <w:trPr>
          <w:trHeight w:val="203"/>
        </w:trPr>
        <w:tc>
          <w:tcPr>
            <w:tcW w:w="7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4,887,991</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4,919,295</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The corresponding notes to the consolidated financial statements can be found in the Company’s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40" w:right="359" w:bottom="1440" w:gutter="0" w:footer="0" w:header="0"/>
        </w:sectPr>
      </w:pPr>
    </w:p>
    <w:bookmarkStart w:id="9" w:name="page10"/>
    <w:bookmarkEnd w:id="9"/>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share and per share data)</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040" w:type="dxa"/>
            <w:vAlign w:val="bottom"/>
            <w:shd w:val="clear" w:color="auto" w:fill="162835"/>
          </w:tcPr>
          <w:p>
            <w:pPr>
              <w:spacing w:after="0"/>
              <w:rPr>
                <w:sz w:val="17"/>
                <w:szCs w:val="17"/>
                <w:color w:val="auto"/>
              </w:rPr>
            </w:pPr>
          </w:p>
        </w:tc>
        <w:tc>
          <w:tcPr>
            <w:tcW w:w="260" w:type="dxa"/>
            <w:vAlign w:val="bottom"/>
            <w:shd w:val="clear" w:color="auto" w:fill="162835"/>
          </w:tcPr>
          <w:p>
            <w:pPr>
              <w:spacing w:after="0"/>
              <w:rPr>
                <w:sz w:val="17"/>
                <w:szCs w:val="17"/>
                <w:color w:val="auto"/>
              </w:rPr>
            </w:pPr>
          </w:p>
        </w:tc>
        <w:tc>
          <w:tcPr>
            <w:tcW w:w="3320" w:type="dxa"/>
            <w:vAlign w:val="bottom"/>
            <w:gridSpan w:val="5"/>
            <w:shd w:val="clear" w:color="auto" w:fill="162835"/>
          </w:tcPr>
          <w:p>
            <w:pPr>
              <w:ind w:left="180"/>
              <w:spacing w:after="0"/>
              <w:rPr>
                <w:sz w:val="20"/>
                <w:szCs w:val="20"/>
                <w:color w:val="auto"/>
              </w:rPr>
            </w:pPr>
            <w:r>
              <w:rPr>
                <w:rFonts w:ascii="Times New Roman" w:cs="Times New Roman" w:eastAsia="Times New Roman" w:hAnsi="Times New Roman"/>
                <w:sz w:val="14"/>
                <w:szCs w:val="14"/>
                <w:b w:val="1"/>
                <w:bCs w:val="1"/>
                <w:color w:val="FFFFFF"/>
              </w:rPr>
              <w:t>For the three months ended September 30,</w:t>
            </w:r>
          </w:p>
        </w:tc>
        <w:tc>
          <w:tcPr>
            <w:tcW w:w="280" w:type="dxa"/>
            <w:vAlign w:val="bottom"/>
            <w:shd w:val="clear" w:color="auto" w:fill="162835"/>
          </w:tcPr>
          <w:p>
            <w:pPr>
              <w:spacing w:after="0"/>
              <w:rPr>
                <w:sz w:val="17"/>
                <w:szCs w:val="17"/>
                <w:color w:val="auto"/>
              </w:rPr>
            </w:pPr>
          </w:p>
        </w:tc>
        <w:tc>
          <w:tcPr>
            <w:tcW w:w="3220" w:type="dxa"/>
            <w:vAlign w:val="bottom"/>
            <w:gridSpan w:val="4"/>
            <w:shd w:val="clear" w:color="auto" w:fill="162835"/>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For the nine months ended September 30,</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162835"/>
            </w:tcBorders>
            <w:shd w:val="clear" w:color="auto" w:fill="162835"/>
          </w:tcPr>
          <w:p>
            <w:pPr>
              <w:spacing w:after="0"/>
              <w:rPr>
                <w:sz w:val="17"/>
                <w:szCs w:val="17"/>
                <w:color w:val="auto"/>
              </w:rPr>
            </w:pPr>
          </w:p>
        </w:tc>
        <w:tc>
          <w:tcPr>
            <w:tcW w:w="260" w:type="dxa"/>
            <w:vAlign w:val="bottom"/>
            <w:tcBorders>
              <w:bottom w:val="single" w:sz="8" w:color="162835"/>
            </w:tcBorders>
            <w:shd w:val="clear" w:color="auto" w:fill="162835"/>
          </w:tcPr>
          <w:p>
            <w:pPr>
              <w:spacing w:after="0"/>
              <w:rPr>
                <w:sz w:val="17"/>
                <w:szCs w:val="17"/>
                <w:color w:val="auto"/>
              </w:rPr>
            </w:pPr>
          </w:p>
        </w:tc>
        <w:tc>
          <w:tcPr>
            <w:tcW w:w="1440" w:type="dxa"/>
            <w:vAlign w:val="bottom"/>
            <w:tcBorders>
              <w:bottom w:val="single" w:sz="8" w:color="162835"/>
            </w:tcBorders>
            <w:shd w:val="clear" w:color="auto" w:fill="162835"/>
          </w:tcPr>
          <w:p>
            <w:pPr>
              <w:jc w:val="right"/>
              <w:ind w:right="628"/>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00" w:type="dxa"/>
            <w:vAlign w:val="bottom"/>
            <w:tcBorders>
              <w:bottom w:val="single" w:sz="8" w:color="162835"/>
            </w:tcBorders>
            <w:shd w:val="clear" w:color="auto" w:fill="162835"/>
          </w:tcPr>
          <w:p>
            <w:pPr>
              <w:spacing w:after="0"/>
              <w:rPr>
                <w:sz w:val="17"/>
                <w:szCs w:val="17"/>
                <w:color w:val="auto"/>
              </w:rPr>
            </w:pPr>
          </w:p>
        </w:tc>
        <w:tc>
          <w:tcPr>
            <w:tcW w:w="400" w:type="dxa"/>
            <w:vAlign w:val="bottom"/>
            <w:tcBorders>
              <w:bottom w:val="single" w:sz="8" w:color="162835"/>
            </w:tcBorders>
            <w:shd w:val="clear" w:color="auto" w:fill="162835"/>
          </w:tcPr>
          <w:p>
            <w:pPr>
              <w:spacing w:after="0"/>
              <w:rPr>
                <w:sz w:val="17"/>
                <w:szCs w:val="17"/>
                <w:color w:val="auto"/>
              </w:rPr>
            </w:pPr>
          </w:p>
        </w:tc>
        <w:tc>
          <w:tcPr>
            <w:tcW w:w="1300" w:type="dxa"/>
            <w:vAlign w:val="bottom"/>
            <w:tcBorders>
              <w:bottom w:val="single" w:sz="8" w:color="162835"/>
            </w:tcBorders>
            <w:shd w:val="clear" w:color="auto" w:fill="162835"/>
          </w:tcPr>
          <w:p>
            <w:pPr>
              <w:jc w:val="right"/>
              <w:ind w:right="64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0" w:type="dxa"/>
            <w:vAlign w:val="bottom"/>
            <w:tcBorders>
              <w:bottom w:val="single" w:sz="8" w:color="162835"/>
            </w:tcBorders>
            <w:shd w:val="clear" w:color="auto" w:fill="162835"/>
          </w:tcPr>
          <w:p>
            <w:pPr>
              <w:spacing w:after="0"/>
              <w:rPr>
                <w:sz w:val="17"/>
                <w:szCs w:val="17"/>
                <w:color w:val="auto"/>
              </w:rPr>
            </w:pPr>
          </w:p>
        </w:tc>
        <w:tc>
          <w:tcPr>
            <w:tcW w:w="280" w:type="dxa"/>
            <w:vAlign w:val="bottom"/>
            <w:tcBorders>
              <w:bottom w:val="single" w:sz="8" w:color="162835"/>
            </w:tcBorders>
            <w:shd w:val="clear" w:color="auto" w:fill="162835"/>
          </w:tcPr>
          <w:p>
            <w:pPr>
              <w:spacing w:after="0"/>
              <w:rPr>
                <w:sz w:val="17"/>
                <w:szCs w:val="17"/>
                <w:color w:val="auto"/>
              </w:rPr>
            </w:pPr>
          </w:p>
        </w:tc>
        <w:tc>
          <w:tcPr>
            <w:tcW w:w="1440" w:type="dxa"/>
            <w:vAlign w:val="bottom"/>
            <w:tcBorders>
              <w:bottom w:val="single" w:sz="8" w:color="162835"/>
            </w:tcBorders>
            <w:shd w:val="clear" w:color="auto" w:fill="162835"/>
          </w:tcPr>
          <w:p>
            <w:pPr>
              <w:jc w:val="right"/>
              <w:ind w:right="648"/>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80" w:type="dxa"/>
            <w:vAlign w:val="bottom"/>
            <w:tcBorders>
              <w:bottom w:val="single" w:sz="8" w:color="162835"/>
            </w:tcBorders>
            <w:shd w:val="clear" w:color="auto" w:fill="162835"/>
          </w:tcPr>
          <w:p>
            <w:pPr>
              <w:spacing w:after="0"/>
              <w:rPr>
                <w:sz w:val="17"/>
                <w:szCs w:val="17"/>
                <w:color w:val="auto"/>
              </w:rPr>
            </w:pPr>
          </w:p>
        </w:tc>
        <w:tc>
          <w:tcPr>
            <w:tcW w:w="400" w:type="dxa"/>
            <w:vAlign w:val="bottom"/>
            <w:tcBorders>
              <w:bottom w:val="single" w:sz="8" w:color="162835"/>
            </w:tcBorders>
            <w:shd w:val="clear" w:color="auto" w:fill="162835"/>
          </w:tcPr>
          <w:p>
            <w:pPr>
              <w:spacing w:after="0"/>
              <w:rPr>
                <w:sz w:val="17"/>
                <w:szCs w:val="17"/>
                <w:color w:val="auto"/>
              </w:rPr>
            </w:pPr>
          </w:p>
        </w:tc>
        <w:tc>
          <w:tcPr>
            <w:tcW w:w="1300" w:type="dxa"/>
            <w:vAlign w:val="bottom"/>
            <w:tcBorders>
              <w:bottom w:val="single" w:sz="8" w:color="162835"/>
            </w:tcBorders>
            <w:shd w:val="clear" w:color="auto" w:fill="162835"/>
          </w:tcPr>
          <w:p>
            <w:pPr>
              <w:jc w:val="right"/>
              <w:ind w:right="62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0" w:type="dxa"/>
            <w:vAlign w:val="bottom"/>
          </w:tcPr>
          <w:p>
            <w:pPr>
              <w:spacing w:after="0"/>
              <w:rPr>
                <w:sz w:val="1"/>
                <w:szCs w:val="1"/>
                <w:color w:val="auto"/>
              </w:rPr>
            </w:pPr>
          </w:p>
        </w:tc>
      </w:tr>
      <w:tr>
        <w:trPr>
          <w:trHeight w:val="203"/>
        </w:trPr>
        <w:tc>
          <w:tcPr>
            <w:tcW w:w="40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revenues</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4"/>
                <w:szCs w:val="14"/>
                <w:color w:val="auto"/>
              </w:rPr>
              <w:t>Room revenue</w:t>
            </w:r>
          </w:p>
        </w:tc>
        <w:tc>
          <w:tcPr>
            <w:tcW w:w="260" w:type="dxa"/>
            <w:vAlign w:val="bottom"/>
            <w:shd w:val="clear" w:color="auto" w:fill="EEEEEE"/>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283,614</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277,088</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853,896</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833,416</w:t>
            </w:r>
          </w:p>
        </w:tc>
        <w:tc>
          <w:tcPr>
            <w:tcW w:w="0" w:type="dxa"/>
            <w:vAlign w:val="bottom"/>
          </w:tcPr>
          <w:p>
            <w:pPr>
              <w:spacing w:after="0"/>
              <w:rPr>
                <w:sz w:val="1"/>
                <w:szCs w:val="1"/>
                <w:color w:val="auto"/>
              </w:rPr>
            </w:pPr>
          </w:p>
        </w:tc>
      </w:tr>
      <w:tr>
        <w:trPr>
          <w:trHeight w:val="195"/>
        </w:trPr>
        <w:tc>
          <w:tcPr>
            <w:tcW w:w="4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Food and beverage revenue</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113,515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105,601</w:t>
            </w:r>
          </w:p>
        </w:tc>
        <w:tc>
          <w:tcPr>
            <w:tcW w:w="0" w:type="dxa"/>
            <w:vAlign w:val="bottom"/>
          </w:tcPr>
          <w:p>
            <w:pPr>
              <w:spacing w:after="0"/>
              <w:rPr>
                <w:sz w:val="1"/>
                <w:szCs w:val="1"/>
                <w:color w:val="auto"/>
              </w:rPr>
            </w:pPr>
          </w:p>
        </w:tc>
      </w:tr>
      <w:tr>
        <w:trPr>
          <w:trHeight w:val="210"/>
        </w:trPr>
        <w:tc>
          <w:tcPr>
            <w:tcW w:w="404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4"/>
                <w:szCs w:val="14"/>
                <w:color w:val="auto"/>
              </w:rPr>
              <w:t>Other revenue</w:t>
            </w:r>
          </w:p>
        </w:tc>
        <w:tc>
          <w:tcPr>
            <w:tcW w:w="26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25,147</w:t>
            </w:r>
          </w:p>
        </w:tc>
        <w:tc>
          <w:tcPr>
            <w:tcW w:w="10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23,137</w:t>
            </w:r>
          </w:p>
        </w:tc>
        <w:tc>
          <w:tcPr>
            <w:tcW w:w="8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72,040</w:t>
            </w:r>
          </w:p>
        </w:tc>
        <w:tc>
          <w:tcPr>
            <w:tcW w:w="8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66,852</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EEEEEE"/>
            </w:tcBorders>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345,744</w:t>
            </w:r>
          </w:p>
        </w:tc>
        <w:tc>
          <w:tcPr>
            <w:tcW w:w="100" w:type="dxa"/>
            <w:vAlign w:val="bottom"/>
            <w:tcBorders>
              <w:bottom w:val="single" w:sz="8" w:color="EEEEEE"/>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334,406</w:t>
            </w:r>
          </w:p>
        </w:tc>
        <w:tc>
          <w:tcPr>
            <w:tcW w:w="80" w:type="dxa"/>
            <w:vAlign w:val="bottom"/>
            <w:tcBorders>
              <w:bottom w:val="single" w:sz="8" w:color="EEEEEE"/>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1,039,451</w:t>
            </w:r>
          </w:p>
        </w:tc>
        <w:tc>
          <w:tcPr>
            <w:tcW w:w="80" w:type="dxa"/>
            <w:vAlign w:val="bottom"/>
            <w:tcBorders>
              <w:bottom w:val="single" w:sz="8" w:color="EEEEEE"/>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1,005,869</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EEEEEE"/>
            </w:tcBorders>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Borders>
              <w:bottom w:val="single" w:sz="8" w:color="EEEEEE"/>
            </w:tcBorders>
            <w:shd w:val="clear" w:color="auto" w:fill="EEEEEE"/>
          </w:tcPr>
          <w:p>
            <w:pPr>
              <w:spacing w:after="0"/>
              <w:rPr>
                <w:sz w:val="15"/>
                <w:szCs w:val="15"/>
                <w:color w:val="auto"/>
              </w:rPr>
            </w:pPr>
          </w:p>
        </w:tc>
        <w:tc>
          <w:tcPr>
            <w:tcW w:w="1440" w:type="dxa"/>
            <w:vAlign w:val="bottom"/>
            <w:tcBorders>
              <w:bottom w:val="single" w:sz="8" w:color="EEEEEE"/>
            </w:tcBorders>
            <w:shd w:val="clear" w:color="auto" w:fill="EEEEEE"/>
          </w:tcPr>
          <w:p>
            <w:pPr>
              <w:spacing w:after="0"/>
              <w:rPr>
                <w:sz w:val="15"/>
                <w:szCs w:val="15"/>
                <w:color w:val="auto"/>
              </w:rPr>
            </w:pPr>
          </w:p>
        </w:tc>
        <w:tc>
          <w:tcPr>
            <w:tcW w:w="100" w:type="dxa"/>
            <w:vAlign w:val="bottom"/>
            <w:tcBorders>
              <w:bottom w:val="single" w:sz="8" w:color="EEEEEE"/>
            </w:tcBorders>
            <w:shd w:val="clear" w:color="auto" w:fill="EEEEEE"/>
          </w:tcPr>
          <w:p>
            <w:pPr>
              <w:spacing w:after="0"/>
              <w:rPr>
                <w:sz w:val="15"/>
                <w:szCs w:val="15"/>
                <w:color w:val="auto"/>
              </w:rPr>
            </w:pPr>
          </w:p>
        </w:tc>
        <w:tc>
          <w:tcPr>
            <w:tcW w:w="400" w:type="dxa"/>
            <w:vAlign w:val="bottom"/>
            <w:tcBorders>
              <w:bottom w:val="single" w:sz="8" w:color="EEEEEE"/>
            </w:tcBorders>
            <w:shd w:val="clear" w:color="auto" w:fill="EEEEEE"/>
          </w:tcPr>
          <w:p>
            <w:pPr>
              <w:spacing w:after="0"/>
              <w:rPr>
                <w:sz w:val="15"/>
                <w:szCs w:val="15"/>
                <w:color w:val="auto"/>
              </w:rPr>
            </w:pPr>
          </w:p>
        </w:tc>
        <w:tc>
          <w:tcPr>
            <w:tcW w:w="1300" w:type="dxa"/>
            <w:vAlign w:val="bottom"/>
            <w:tcBorders>
              <w:bottom w:val="single" w:sz="8" w:color="EEEEEE"/>
            </w:tcBorders>
            <w:shd w:val="clear" w:color="auto" w:fill="EEEEEE"/>
          </w:tcPr>
          <w:p>
            <w:pPr>
              <w:spacing w:after="0"/>
              <w:rPr>
                <w:sz w:val="15"/>
                <w:szCs w:val="15"/>
                <w:color w:val="auto"/>
              </w:rPr>
            </w:pPr>
          </w:p>
        </w:tc>
        <w:tc>
          <w:tcPr>
            <w:tcW w:w="80" w:type="dxa"/>
            <w:vAlign w:val="bottom"/>
            <w:tcBorders>
              <w:bottom w:val="single" w:sz="8" w:color="EEEEEE"/>
            </w:tcBorders>
            <w:shd w:val="clear" w:color="auto" w:fill="EEEEEE"/>
          </w:tcPr>
          <w:p>
            <w:pPr>
              <w:spacing w:after="0"/>
              <w:rPr>
                <w:sz w:val="15"/>
                <w:szCs w:val="15"/>
                <w:color w:val="auto"/>
              </w:rPr>
            </w:pPr>
          </w:p>
        </w:tc>
        <w:tc>
          <w:tcPr>
            <w:tcW w:w="280" w:type="dxa"/>
            <w:vAlign w:val="bottom"/>
            <w:tcBorders>
              <w:bottom w:val="single" w:sz="8" w:color="EEEEEE"/>
            </w:tcBorders>
            <w:shd w:val="clear" w:color="auto" w:fill="EEEEEE"/>
          </w:tcPr>
          <w:p>
            <w:pPr>
              <w:spacing w:after="0"/>
              <w:rPr>
                <w:sz w:val="15"/>
                <w:szCs w:val="15"/>
                <w:color w:val="auto"/>
              </w:rPr>
            </w:pPr>
          </w:p>
        </w:tc>
        <w:tc>
          <w:tcPr>
            <w:tcW w:w="1440" w:type="dxa"/>
            <w:vAlign w:val="bottom"/>
            <w:tcBorders>
              <w:bottom w:val="single" w:sz="8" w:color="EEEEEE"/>
            </w:tcBorders>
            <w:shd w:val="clear" w:color="auto" w:fill="EEEEEE"/>
          </w:tcPr>
          <w:p>
            <w:pPr>
              <w:spacing w:after="0"/>
              <w:rPr>
                <w:sz w:val="15"/>
                <w:szCs w:val="15"/>
                <w:color w:val="auto"/>
              </w:rPr>
            </w:pPr>
          </w:p>
        </w:tc>
        <w:tc>
          <w:tcPr>
            <w:tcW w:w="80" w:type="dxa"/>
            <w:vAlign w:val="bottom"/>
            <w:tcBorders>
              <w:bottom w:val="single" w:sz="8" w:color="EEEEEE"/>
            </w:tcBorders>
            <w:shd w:val="clear" w:color="auto" w:fill="EEEEEE"/>
          </w:tcPr>
          <w:p>
            <w:pPr>
              <w:spacing w:after="0"/>
              <w:rPr>
                <w:sz w:val="15"/>
                <w:szCs w:val="15"/>
                <w:color w:val="auto"/>
              </w:rPr>
            </w:pPr>
          </w:p>
        </w:tc>
        <w:tc>
          <w:tcPr>
            <w:tcW w:w="400" w:type="dxa"/>
            <w:vAlign w:val="bottom"/>
            <w:tcBorders>
              <w:bottom w:val="single" w:sz="8" w:color="EEEEEE"/>
            </w:tcBorders>
            <w:shd w:val="clear" w:color="auto" w:fill="EEEEEE"/>
          </w:tcPr>
          <w:p>
            <w:pPr>
              <w:spacing w:after="0"/>
              <w:rPr>
                <w:sz w:val="15"/>
                <w:szCs w:val="15"/>
                <w:color w:val="auto"/>
              </w:rPr>
            </w:pPr>
          </w:p>
        </w:tc>
        <w:tc>
          <w:tcPr>
            <w:tcW w:w="1300" w:type="dxa"/>
            <w:vAlign w:val="bottom"/>
            <w:tcBorders>
              <w:bottom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4"/>
                <w:szCs w:val="14"/>
                <w:color w:val="auto"/>
              </w:rPr>
              <w:t>Room expense</w:t>
            </w:r>
          </w:p>
        </w:tc>
        <w:tc>
          <w:tcPr>
            <w:tcW w:w="2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74,558</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71,278</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217,885</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207,662</w:t>
            </w:r>
          </w:p>
        </w:tc>
        <w:tc>
          <w:tcPr>
            <w:tcW w:w="0" w:type="dxa"/>
            <w:vAlign w:val="bottom"/>
          </w:tcPr>
          <w:p>
            <w:pPr>
              <w:spacing w:after="0"/>
              <w:rPr>
                <w:sz w:val="1"/>
                <w:szCs w:val="1"/>
                <w:color w:val="auto"/>
              </w:rPr>
            </w:pPr>
          </w:p>
        </w:tc>
      </w:tr>
      <w:tr>
        <w:trPr>
          <w:trHeight w:val="195"/>
        </w:trPr>
        <w:tc>
          <w:tcPr>
            <w:tcW w:w="4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Food and beverage expense</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88,279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81,604</w:t>
            </w:r>
          </w:p>
        </w:tc>
        <w:tc>
          <w:tcPr>
            <w:tcW w:w="0" w:type="dxa"/>
            <w:vAlign w:val="bottom"/>
          </w:tcPr>
          <w:p>
            <w:pPr>
              <w:spacing w:after="0"/>
              <w:rPr>
                <w:sz w:val="1"/>
                <w:szCs w:val="1"/>
                <w:color w:val="auto"/>
              </w:rPr>
            </w:pPr>
          </w:p>
        </w:tc>
      </w:tr>
      <w:tr>
        <w:trPr>
          <w:trHeight w:val="210"/>
        </w:trPr>
        <w:tc>
          <w:tcPr>
            <w:tcW w:w="4040" w:type="dxa"/>
            <w:vAlign w:val="bottom"/>
            <w:shd w:val="clear" w:color="auto" w:fill="EEEEEE"/>
          </w:tcPr>
          <w:p>
            <w:pPr>
              <w:ind w:left="340"/>
              <w:spacing w:after="0"/>
              <w:rPr>
                <w:sz w:val="20"/>
                <w:szCs w:val="20"/>
                <w:color w:val="auto"/>
              </w:rPr>
            </w:pPr>
            <w:r>
              <w:rPr>
                <w:rFonts w:ascii="Times New Roman" w:cs="Times New Roman" w:eastAsia="Times New Roman" w:hAnsi="Times New Roman"/>
                <w:sz w:val="14"/>
                <w:szCs w:val="14"/>
                <w:color w:val="auto"/>
              </w:rPr>
              <w:t>Management and franchise fee expense</w:t>
            </w:r>
          </w:p>
        </w:tc>
        <w:tc>
          <w:tcPr>
            <w:tcW w:w="2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27,339</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27,095</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82,783</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82,554</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EEEEEE"/>
            </w:tcBorders>
          </w:tcPr>
          <w:p>
            <w:pPr>
              <w:ind w:left="34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92,350</w:t>
            </w:r>
          </w:p>
        </w:tc>
        <w:tc>
          <w:tcPr>
            <w:tcW w:w="100" w:type="dxa"/>
            <w:vAlign w:val="bottom"/>
            <w:tcBorders>
              <w:bottom w:val="single" w:sz="8" w:color="EEEEEE"/>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87,736</w:t>
            </w:r>
          </w:p>
        </w:tc>
        <w:tc>
          <w:tcPr>
            <w:tcW w:w="80" w:type="dxa"/>
            <w:vAlign w:val="bottom"/>
            <w:tcBorders>
              <w:bottom w:val="single" w:sz="8" w:color="EE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272,951</w:t>
            </w:r>
          </w:p>
        </w:tc>
        <w:tc>
          <w:tcPr>
            <w:tcW w:w="80" w:type="dxa"/>
            <w:vAlign w:val="bottom"/>
            <w:tcBorders>
              <w:bottom w:val="single" w:sz="8" w:color="EEEEEE"/>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254,567</w:t>
            </w:r>
          </w:p>
        </w:tc>
        <w:tc>
          <w:tcPr>
            <w:tcW w:w="0" w:type="dxa"/>
            <w:vAlign w:val="bottom"/>
          </w:tcPr>
          <w:p>
            <w:pPr>
              <w:spacing w:after="0"/>
              <w:rPr>
                <w:sz w:val="1"/>
                <w:szCs w:val="1"/>
                <w:color w:val="auto"/>
              </w:rPr>
            </w:pPr>
          </w:p>
        </w:tc>
      </w:tr>
      <w:tr>
        <w:trPr>
          <w:trHeight w:val="203"/>
        </w:trPr>
        <w:tc>
          <w:tcPr>
            <w:tcW w:w="4040" w:type="dxa"/>
            <w:vAlign w:val="bottom"/>
            <w:shd w:val="clear" w:color="auto" w:fill="EEEEEE"/>
          </w:tcPr>
          <w:p>
            <w:pPr>
              <w:ind w:left="500"/>
              <w:spacing w:after="0"/>
              <w:rPr>
                <w:sz w:val="20"/>
                <w:szCs w:val="20"/>
                <w:color w:val="auto"/>
              </w:rPr>
            </w:pPr>
            <w:r>
              <w:rPr>
                <w:rFonts w:ascii="Times New Roman" w:cs="Times New Roman" w:eastAsia="Times New Roman" w:hAnsi="Times New Roman"/>
                <w:sz w:val="14"/>
                <w:szCs w:val="14"/>
                <w:color w:val="auto"/>
              </w:rPr>
              <w:t>Total property operating expenses</w:t>
            </w:r>
          </w:p>
        </w:tc>
        <w:tc>
          <w:tcPr>
            <w:tcW w:w="260" w:type="dxa"/>
            <w:vAlign w:val="bottom"/>
            <w:shd w:val="clear" w:color="auto" w:fill="EEEEEE"/>
          </w:tcPr>
          <w:p>
            <w:pPr>
              <w:spacing w:after="0"/>
              <w:rPr>
                <w:sz w:val="17"/>
                <w:szCs w:val="17"/>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223,595</w:t>
            </w:r>
          </w:p>
        </w:tc>
        <w:tc>
          <w:tcPr>
            <w:tcW w:w="1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213,539</w:t>
            </w:r>
          </w:p>
        </w:tc>
        <w:tc>
          <w:tcPr>
            <w:tcW w:w="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44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661,898</w:t>
            </w:r>
          </w:p>
        </w:tc>
        <w:tc>
          <w:tcPr>
            <w:tcW w:w="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626,387</w:t>
            </w:r>
          </w:p>
        </w:tc>
        <w:tc>
          <w:tcPr>
            <w:tcW w:w="0" w:type="dxa"/>
            <w:vAlign w:val="bottom"/>
          </w:tcPr>
          <w:p>
            <w:pPr>
              <w:spacing w:after="0"/>
              <w:rPr>
                <w:sz w:val="1"/>
                <w:szCs w:val="1"/>
                <w:color w:val="auto"/>
              </w:rPr>
            </w:pPr>
          </w:p>
        </w:tc>
      </w:tr>
      <w:tr>
        <w:trPr>
          <w:trHeight w:val="195"/>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134,045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134,648</w:t>
            </w:r>
          </w:p>
        </w:tc>
        <w:tc>
          <w:tcPr>
            <w:tcW w:w="0" w:type="dxa"/>
            <w:vAlign w:val="bottom"/>
          </w:tcPr>
          <w:p>
            <w:pPr>
              <w:spacing w:after="0"/>
              <w:rPr>
                <w:sz w:val="1"/>
                <w:szCs w:val="1"/>
                <w:color w:val="auto"/>
              </w:rPr>
            </w:pPr>
          </w:p>
        </w:tc>
      </w:tr>
      <w:tr>
        <w:trPr>
          <w:trHeight w:val="210"/>
        </w:trPr>
        <w:tc>
          <w:tcPr>
            <w:tcW w:w="40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Property tax, insurance and other</w:t>
            </w:r>
          </w:p>
        </w:tc>
        <w:tc>
          <w:tcPr>
            <w:tcW w:w="2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24,156</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26,936</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80,743</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76,268</w:t>
            </w:r>
          </w:p>
        </w:tc>
        <w:tc>
          <w:tcPr>
            <w:tcW w:w="0" w:type="dxa"/>
            <w:vAlign w:val="bottom"/>
          </w:tcPr>
          <w:p>
            <w:pPr>
              <w:spacing w:after="0"/>
              <w:rPr>
                <w:sz w:val="1"/>
                <w:szCs w:val="1"/>
                <w:color w:val="auto"/>
              </w:rPr>
            </w:pPr>
          </w:p>
        </w:tc>
      </w:tr>
      <w:tr>
        <w:trPr>
          <w:trHeight w:val="195"/>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41,826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43,030</w:t>
            </w:r>
          </w:p>
        </w:tc>
        <w:tc>
          <w:tcPr>
            <w:tcW w:w="0" w:type="dxa"/>
            <w:vAlign w:val="bottom"/>
          </w:tcPr>
          <w:p>
            <w:pPr>
              <w:spacing w:after="0"/>
              <w:rPr>
                <w:sz w:val="1"/>
                <w:szCs w:val="1"/>
                <w:color w:val="auto"/>
              </w:rPr>
            </w:pPr>
          </w:p>
        </w:tc>
      </w:tr>
      <w:tr>
        <w:trPr>
          <w:trHeight w:val="210"/>
        </w:trPr>
        <w:tc>
          <w:tcPr>
            <w:tcW w:w="40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Transaction costs</w:t>
            </w:r>
          </w:p>
        </w:tc>
        <w:tc>
          <w:tcPr>
            <w:tcW w:w="26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0"/>
        </w:trPr>
        <w:tc>
          <w:tcPr>
            <w:tcW w:w="4040" w:type="dxa"/>
            <w:vAlign w:val="bottom"/>
            <w:tcBorders>
              <w:bottom w:val="single" w:sz="8" w:color="EEEEEE"/>
            </w:tcBorders>
          </w:tcPr>
          <w:p>
            <w:pPr>
              <w:ind w:left="5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305,633</w:t>
            </w:r>
          </w:p>
        </w:tc>
        <w:tc>
          <w:tcPr>
            <w:tcW w:w="100" w:type="dxa"/>
            <w:vAlign w:val="bottom"/>
            <w:tcBorders>
              <w:bottom w:val="single" w:sz="8" w:color="EEEEEE"/>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299,951</w:t>
            </w:r>
          </w:p>
        </w:tc>
        <w:tc>
          <w:tcPr>
            <w:tcW w:w="80" w:type="dxa"/>
            <w:vAlign w:val="bottom"/>
            <w:tcBorders>
              <w:bottom w:val="single" w:sz="8" w:color="EEEEEE"/>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918,811</w:t>
            </w:r>
          </w:p>
        </w:tc>
        <w:tc>
          <w:tcPr>
            <w:tcW w:w="80" w:type="dxa"/>
            <w:vAlign w:val="bottom"/>
            <w:tcBorders>
              <w:bottom w:val="single" w:sz="8" w:color="EEEEEE"/>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880,359</w:t>
            </w:r>
          </w:p>
        </w:tc>
        <w:tc>
          <w:tcPr>
            <w:tcW w:w="0" w:type="dxa"/>
            <w:vAlign w:val="bottom"/>
          </w:tcPr>
          <w:p>
            <w:pPr>
              <w:spacing w:after="0"/>
              <w:rPr>
                <w:sz w:val="1"/>
                <w:szCs w:val="1"/>
                <w:color w:val="auto"/>
              </w:rPr>
            </w:pPr>
          </w:p>
        </w:tc>
      </w:tr>
      <w:tr>
        <w:trPr>
          <w:trHeight w:val="203"/>
        </w:trPr>
        <w:tc>
          <w:tcPr>
            <w:tcW w:w="40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Other income, net</w:t>
            </w:r>
          </w:p>
        </w:tc>
        <w:tc>
          <w:tcPr>
            <w:tcW w:w="260" w:type="dxa"/>
            <w:vAlign w:val="bottom"/>
            <w:shd w:val="clear" w:color="auto" w:fill="EEEEEE"/>
          </w:tcPr>
          <w:p>
            <w:pPr>
              <w:spacing w:after="0"/>
              <w:rPr>
                <w:sz w:val="17"/>
                <w:szCs w:val="17"/>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44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4,669</w:t>
            </w:r>
          </w:p>
        </w:tc>
        <w:tc>
          <w:tcPr>
            <w:tcW w:w="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0" w:type="dxa"/>
            <w:vAlign w:val="bottom"/>
          </w:tcPr>
          <w:p>
            <w:pPr>
              <w:spacing w:after="0"/>
              <w:rPr>
                <w:sz w:val="1"/>
                <w:szCs w:val="1"/>
                <w:color w:val="auto"/>
              </w:rPr>
            </w:pPr>
          </w:p>
        </w:tc>
      </w:tr>
      <w:tr>
        <w:trPr>
          <w:trHeight w:val="195"/>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13,191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13,977</w:t>
            </w:r>
          </w:p>
        </w:tc>
        <w:tc>
          <w:tcPr>
            <w:tcW w:w="0" w:type="dxa"/>
            <w:vAlign w:val="bottom"/>
          </w:tcPr>
          <w:p>
            <w:pPr>
              <w:spacing w:after="0"/>
              <w:rPr>
                <w:sz w:val="1"/>
                <w:szCs w:val="1"/>
                <w:color w:val="auto"/>
              </w:rPr>
            </w:pPr>
          </w:p>
        </w:tc>
      </w:tr>
      <w:tr>
        <w:trPr>
          <w:trHeight w:val="210"/>
        </w:trPr>
        <w:tc>
          <w:tcPr>
            <w:tcW w:w="40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(28,643)</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(24,833)</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(83,150)</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(73,506)</w:t>
            </w:r>
          </w:p>
        </w:tc>
        <w:tc>
          <w:tcPr>
            <w:tcW w:w="0" w:type="dxa"/>
            <w:vAlign w:val="bottom"/>
          </w:tcPr>
          <w:p>
            <w:pPr>
              <w:spacing w:after="0"/>
              <w:rPr>
                <w:sz w:val="1"/>
                <w:szCs w:val="1"/>
                <w:color w:val="auto"/>
              </w:rPr>
            </w:pPr>
          </w:p>
        </w:tc>
      </w:tr>
      <w:tr>
        <w:trPr>
          <w:trHeight w:val="195"/>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(loss) on sale of hotel properties, net</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8,301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40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Loss on extinguishment of indebtedness, net</w:t>
            </w:r>
          </w:p>
        </w:tc>
        <w:tc>
          <w:tcPr>
            <w:tcW w:w="2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19"/>
        </w:trPr>
        <w:tc>
          <w:tcPr>
            <w:tcW w:w="404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Income before equity in (loss) income from unconsolidated joint</w:t>
            </w:r>
          </w:p>
        </w:tc>
        <w:tc>
          <w:tcPr>
            <w:tcW w:w="2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21,171</w:t>
            </w: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16,861</w:t>
            </w:r>
          </w:p>
        </w:tc>
        <w:tc>
          <w:tcPr>
            <w:tcW w:w="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63,522</w:t>
            </w: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69,290</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ventures</w:t>
            </w:r>
          </w:p>
        </w:tc>
        <w:tc>
          <w:tcPr>
            <w:tcW w:w="2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Equity in (loss) income from unconsolidated joint ventures</w:t>
            </w:r>
          </w:p>
        </w:tc>
        <w:tc>
          <w:tcPr>
            <w:tcW w:w="26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63,761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69,605</w:t>
            </w:r>
          </w:p>
        </w:tc>
        <w:tc>
          <w:tcPr>
            <w:tcW w:w="0" w:type="dxa"/>
            <w:vAlign w:val="bottom"/>
          </w:tcPr>
          <w:p>
            <w:pPr>
              <w:spacing w:after="0"/>
              <w:rPr>
                <w:sz w:val="1"/>
                <w:szCs w:val="1"/>
                <w:color w:val="auto"/>
              </w:rPr>
            </w:pPr>
          </w:p>
        </w:tc>
      </w:tr>
      <w:tr>
        <w:trPr>
          <w:trHeight w:val="210"/>
        </w:trPr>
        <w:tc>
          <w:tcPr>
            <w:tcW w:w="40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8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62,680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68,577</w:t>
            </w:r>
          </w:p>
        </w:tc>
        <w:tc>
          <w:tcPr>
            <w:tcW w:w="0" w:type="dxa"/>
            <w:vAlign w:val="bottom"/>
          </w:tcPr>
          <w:p>
            <w:pPr>
              <w:spacing w:after="0"/>
              <w:rPr>
                <w:sz w:val="1"/>
                <w:szCs w:val="1"/>
                <w:color w:val="auto"/>
              </w:rPr>
            </w:pPr>
          </w:p>
        </w:tc>
      </w:tr>
      <w:tr>
        <w:trPr>
          <w:trHeight w:val="210"/>
        </w:trPr>
        <w:tc>
          <w:tcPr>
            <w:tcW w:w="40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2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Noncontrolling interest in the Operating Partnership</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10"/>
        </w:trPr>
        <w:tc>
          <w:tcPr>
            <w:tcW w:w="40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Noncontrolling interest in consolidated joint ventures</w:t>
            </w:r>
          </w:p>
        </w:tc>
        <w:tc>
          <w:tcPr>
            <w:tcW w:w="26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RLJ</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62,645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68,470</w:t>
            </w:r>
          </w:p>
        </w:tc>
        <w:tc>
          <w:tcPr>
            <w:tcW w:w="0" w:type="dxa"/>
            <w:vAlign w:val="bottom"/>
          </w:tcPr>
          <w:p>
            <w:pPr>
              <w:spacing w:after="0"/>
              <w:rPr>
                <w:sz w:val="1"/>
                <w:szCs w:val="1"/>
                <w:color w:val="auto"/>
              </w:rPr>
            </w:pPr>
          </w:p>
        </w:tc>
      </w:tr>
      <w:tr>
        <w:trPr>
          <w:trHeight w:val="203"/>
        </w:trPr>
        <w:tc>
          <w:tcPr>
            <w:tcW w:w="40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Preferred dividends</w:t>
            </w:r>
          </w:p>
        </w:tc>
        <w:tc>
          <w:tcPr>
            <w:tcW w:w="260" w:type="dxa"/>
            <w:vAlign w:val="bottom"/>
            <w:tcBorders>
              <w:bottom w:val="single" w:sz="8" w:color="auto"/>
            </w:tcBorders>
            <w:shd w:val="clear" w:color="auto" w:fill="EEEEEE"/>
          </w:tcPr>
          <w:p>
            <w:pPr>
              <w:spacing w:after="0"/>
              <w:rPr>
                <w:sz w:val="17"/>
                <w:szCs w:val="17"/>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100" w:type="dxa"/>
            <w:vAlign w:val="bottom"/>
            <w:shd w:val="clear" w:color="auto" w:fill="EEEEEE"/>
          </w:tcPr>
          <w:p>
            <w:pPr>
              <w:spacing w:after="0"/>
              <w:rPr>
                <w:sz w:val="17"/>
                <w:szCs w:val="17"/>
                <w:color w:val="auto"/>
              </w:rPr>
            </w:pPr>
          </w:p>
        </w:tc>
        <w:tc>
          <w:tcPr>
            <w:tcW w:w="400" w:type="dxa"/>
            <w:vAlign w:val="bottom"/>
            <w:tcBorders>
              <w:bottom w:val="single" w:sz="8" w:color="auto"/>
            </w:tcBorders>
            <w:shd w:val="clear" w:color="auto" w:fill="EEEEEE"/>
          </w:tcPr>
          <w:p>
            <w:pPr>
              <w:spacing w:after="0"/>
              <w:rPr>
                <w:sz w:val="17"/>
                <w:szCs w:val="17"/>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80" w:type="dxa"/>
            <w:vAlign w:val="bottom"/>
            <w:shd w:val="clear" w:color="auto" w:fill="EEEEEE"/>
          </w:tcPr>
          <w:p>
            <w:pPr>
              <w:spacing w:after="0"/>
              <w:rPr>
                <w:sz w:val="17"/>
                <w:szCs w:val="17"/>
                <w:color w:val="auto"/>
              </w:rPr>
            </w:pPr>
          </w:p>
        </w:tc>
        <w:tc>
          <w:tcPr>
            <w:tcW w:w="280" w:type="dxa"/>
            <w:vAlign w:val="bottom"/>
            <w:tcBorders>
              <w:bottom w:val="single" w:sz="8" w:color="auto"/>
            </w:tcBorders>
            <w:shd w:val="clear" w:color="auto" w:fill="EEEEEE"/>
          </w:tcPr>
          <w:p>
            <w:pPr>
              <w:spacing w:after="0"/>
              <w:rPr>
                <w:sz w:val="17"/>
                <w:szCs w:val="17"/>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(18,836)</w:t>
            </w:r>
          </w:p>
        </w:tc>
        <w:tc>
          <w:tcPr>
            <w:tcW w:w="80" w:type="dxa"/>
            <w:vAlign w:val="bottom"/>
            <w:shd w:val="clear" w:color="auto" w:fill="EEEEEE"/>
          </w:tcPr>
          <w:p>
            <w:pPr>
              <w:spacing w:after="0"/>
              <w:rPr>
                <w:sz w:val="17"/>
                <w:szCs w:val="17"/>
                <w:color w:val="auto"/>
              </w:rPr>
            </w:pPr>
          </w:p>
        </w:tc>
        <w:tc>
          <w:tcPr>
            <w:tcW w:w="400" w:type="dxa"/>
            <w:vAlign w:val="bottom"/>
            <w:tcBorders>
              <w:bottom w:val="single" w:sz="8" w:color="auto"/>
            </w:tcBorders>
            <w:shd w:val="clear" w:color="auto" w:fill="EEEEEE"/>
          </w:tcPr>
          <w:p>
            <w:pPr>
              <w:spacing w:after="0"/>
              <w:rPr>
                <w:sz w:val="17"/>
                <w:szCs w:val="17"/>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(18,836)</w:t>
            </w: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43,809</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49,634</w:t>
            </w:r>
          </w:p>
        </w:tc>
        <w:tc>
          <w:tcPr>
            <w:tcW w:w="0" w:type="dxa"/>
            <w:vAlign w:val="bottom"/>
          </w:tcPr>
          <w:p>
            <w:pPr>
              <w:spacing w:after="0"/>
              <w:rPr>
                <w:sz w:val="1"/>
                <w:szCs w:val="1"/>
                <w:color w:val="auto"/>
              </w:rPr>
            </w:pPr>
          </w:p>
        </w:tc>
      </w:tr>
      <w:tr>
        <w:trPr>
          <w:trHeight w:val="20"/>
        </w:trPr>
        <w:tc>
          <w:tcPr>
            <w:tcW w:w="40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tcBorders>
              <w:bottom w:val="single" w:sz="8" w:color="EEEEEE"/>
            </w:tcBorders>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Basic per common share data:</w:t>
            </w:r>
          </w:p>
        </w:tc>
        <w:tc>
          <w:tcPr>
            <w:tcW w:w="260" w:type="dxa"/>
            <w:vAlign w:val="bottom"/>
            <w:tcBorders>
              <w:bottom w:val="single" w:sz="8" w:color="EEEEEE"/>
            </w:tcBorders>
            <w:shd w:val="clear" w:color="auto" w:fill="EEEEEE"/>
          </w:tcPr>
          <w:p>
            <w:pPr>
              <w:spacing w:after="0"/>
              <w:rPr>
                <w:sz w:val="17"/>
                <w:szCs w:val="17"/>
                <w:color w:val="auto"/>
              </w:rPr>
            </w:pPr>
          </w:p>
        </w:tc>
        <w:tc>
          <w:tcPr>
            <w:tcW w:w="144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400" w:type="dxa"/>
            <w:vAlign w:val="bottom"/>
            <w:tcBorders>
              <w:bottom w:val="single" w:sz="8" w:color="EEEEEE"/>
            </w:tcBorders>
            <w:shd w:val="clear" w:color="auto" w:fill="EEEEEE"/>
          </w:tcPr>
          <w:p>
            <w:pPr>
              <w:spacing w:after="0"/>
              <w:rPr>
                <w:sz w:val="17"/>
                <w:szCs w:val="17"/>
                <w:color w:val="auto"/>
              </w:rPr>
            </w:pPr>
          </w:p>
        </w:tc>
        <w:tc>
          <w:tcPr>
            <w:tcW w:w="130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144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400" w:type="dxa"/>
            <w:vAlign w:val="bottom"/>
            <w:tcBorders>
              <w:bottom w:val="single" w:sz="8" w:color="EEEEEE"/>
            </w:tcBorders>
            <w:shd w:val="clear" w:color="auto" w:fill="EEEEEE"/>
          </w:tcPr>
          <w:p>
            <w:pPr>
              <w:spacing w:after="0"/>
              <w:rPr>
                <w:sz w:val="17"/>
                <w:szCs w:val="17"/>
                <w:color w:val="auto"/>
              </w:rPr>
            </w:pPr>
          </w:p>
        </w:tc>
        <w:tc>
          <w:tcPr>
            <w:tcW w:w="13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share attributable to common shareholders - basic</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20"/>
        </w:trPr>
        <w:tc>
          <w:tcPr>
            <w:tcW w:w="40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w:t>
            </w:r>
          </w:p>
        </w:tc>
        <w:tc>
          <w:tcPr>
            <w:tcW w:w="260" w:type="dxa"/>
            <w:vAlign w:val="bottom"/>
            <w:tcBorders>
              <w:bottom w:val="single" w:sz="8" w:color="auto"/>
            </w:tcBorders>
            <w:shd w:val="clear" w:color="auto" w:fill="EEEEEE"/>
          </w:tcPr>
          <w:p>
            <w:pPr>
              <w:spacing w:after="0"/>
              <w:rPr>
                <w:sz w:val="17"/>
                <w:szCs w:val="17"/>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153,070,639</w:t>
            </w:r>
          </w:p>
        </w:tc>
        <w:tc>
          <w:tcPr>
            <w:tcW w:w="100" w:type="dxa"/>
            <w:vAlign w:val="bottom"/>
            <w:shd w:val="clear" w:color="auto" w:fill="EEEEEE"/>
          </w:tcPr>
          <w:p>
            <w:pPr>
              <w:spacing w:after="0"/>
              <w:rPr>
                <w:sz w:val="17"/>
                <w:szCs w:val="17"/>
                <w:color w:val="auto"/>
              </w:rPr>
            </w:pPr>
          </w:p>
        </w:tc>
        <w:tc>
          <w:tcPr>
            <w:tcW w:w="400" w:type="dxa"/>
            <w:vAlign w:val="bottom"/>
            <w:tcBorders>
              <w:bottom w:val="single" w:sz="8" w:color="auto"/>
            </w:tcBorders>
            <w:shd w:val="clear" w:color="auto" w:fill="EEEEEE"/>
          </w:tcPr>
          <w:p>
            <w:pPr>
              <w:spacing w:after="0"/>
              <w:rPr>
                <w:sz w:val="17"/>
                <w:szCs w:val="17"/>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154,563,284</w:t>
            </w:r>
          </w:p>
        </w:tc>
        <w:tc>
          <w:tcPr>
            <w:tcW w:w="80" w:type="dxa"/>
            <w:vAlign w:val="bottom"/>
            <w:shd w:val="clear" w:color="auto" w:fill="EEEEEE"/>
          </w:tcPr>
          <w:p>
            <w:pPr>
              <w:spacing w:after="0"/>
              <w:rPr>
                <w:sz w:val="17"/>
                <w:szCs w:val="17"/>
                <w:color w:val="auto"/>
              </w:rPr>
            </w:pPr>
          </w:p>
        </w:tc>
        <w:tc>
          <w:tcPr>
            <w:tcW w:w="280" w:type="dxa"/>
            <w:vAlign w:val="bottom"/>
            <w:tcBorders>
              <w:bottom w:val="single" w:sz="8" w:color="auto"/>
            </w:tcBorders>
            <w:shd w:val="clear" w:color="auto" w:fill="EEEEEE"/>
          </w:tcPr>
          <w:p>
            <w:pPr>
              <w:spacing w:after="0"/>
              <w:rPr>
                <w:sz w:val="17"/>
                <w:szCs w:val="17"/>
                <w:color w:val="auto"/>
              </w:rPr>
            </w:pPr>
          </w:p>
        </w:tc>
        <w:tc>
          <w:tcPr>
            <w:tcW w:w="144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153,226,734</w:t>
            </w:r>
          </w:p>
        </w:tc>
        <w:tc>
          <w:tcPr>
            <w:tcW w:w="80" w:type="dxa"/>
            <w:vAlign w:val="bottom"/>
            <w:shd w:val="clear" w:color="auto" w:fill="EEEEEE"/>
          </w:tcPr>
          <w:p>
            <w:pPr>
              <w:spacing w:after="0"/>
              <w:rPr>
                <w:sz w:val="17"/>
                <w:szCs w:val="17"/>
                <w:color w:val="auto"/>
              </w:rPr>
            </w:pPr>
          </w:p>
        </w:tc>
        <w:tc>
          <w:tcPr>
            <w:tcW w:w="400" w:type="dxa"/>
            <w:vAlign w:val="bottom"/>
            <w:tcBorders>
              <w:bottom w:val="single" w:sz="8" w:color="auto"/>
            </w:tcBorders>
            <w:shd w:val="clear" w:color="auto" w:fill="EEEEEE"/>
          </w:tcPr>
          <w:p>
            <w:pPr>
              <w:spacing w:after="0"/>
              <w:rPr>
                <w:sz w:val="17"/>
                <w:szCs w:val="17"/>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156,805,643</w:t>
            </w:r>
          </w:p>
        </w:tc>
        <w:tc>
          <w:tcPr>
            <w:tcW w:w="0" w:type="dxa"/>
            <w:vAlign w:val="bottom"/>
          </w:tcPr>
          <w:p>
            <w:pPr>
              <w:spacing w:after="0"/>
              <w:rPr>
                <w:sz w:val="1"/>
                <w:szCs w:val="1"/>
                <w:color w:val="auto"/>
              </w:rPr>
            </w:pPr>
          </w:p>
        </w:tc>
      </w:tr>
      <w:tr>
        <w:trPr>
          <w:trHeight w:val="17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 per common share data:</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40" w:type="dxa"/>
            <w:vAlign w:val="bottom"/>
            <w:tcBorders>
              <w:bottom w:val="single" w:sz="8" w:color="EEEEEE"/>
            </w:tcBorders>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Net income per share attributable to common shareholders - diluted</w:t>
            </w:r>
          </w:p>
        </w:tc>
        <w:tc>
          <w:tcPr>
            <w:tcW w:w="260" w:type="dxa"/>
            <w:vAlign w:val="bottom"/>
            <w:tcBorders>
              <w:bottom w:val="single" w:sz="8" w:color="auto"/>
            </w:tcBorders>
            <w:shd w:val="clear" w:color="auto" w:fill="EEEEEE"/>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Borders>
              <w:bottom w:val="single" w:sz="8" w:color="EEEEEE"/>
            </w:tcBorders>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tcBorders>
              <w:bottom w:val="single" w:sz="8" w:color="EEEEEE"/>
            </w:tcBorders>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20"/>
        </w:trPr>
        <w:tc>
          <w:tcPr>
            <w:tcW w:w="40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bottom w:val="single" w:sz="8" w:color="auto"/>
            </w:tcBorders>
          </w:tcPr>
          <w:p>
            <w:pPr>
              <w:spacing w:after="0" w:line="20" w:lineRule="exact"/>
              <w:rPr>
                <w:sz w:val="1"/>
                <w:szCs w:val="1"/>
                <w:color w:val="auto"/>
              </w:rPr>
            </w:pPr>
          </w:p>
        </w:tc>
        <w:tc>
          <w:tcPr>
            <w:tcW w:w="1440" w:type="dxa"/>
            <w:vAlign w:val="bottom"/>
            <w:tcBorders>
              <w:top w:val="single" w:sz="8" w:color="EEEEEE"/>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bottom w:val="single" w:sz="8" w:color="auto"/>
            </w:tcBorders>
          </w:tcPr>
          <w:p>
            <w:pPr>
              <w:spacing w:after="0" w:line="20" w:lineRule="exact"/>
              <w:rPr>
                <w:sz w:val="1"/>
                <w:szCs w:val="1"/>
                <w:color w:val="auto"/>
              </w:rPr>
            </w:pPr>
          </w:p>
        </w:tc>
        <w:tc>
          <w:tcPr>
            <w:tcW w:w="1300" w:type="dxa"/>
            <w:vAlign w:val="bottom"/>
            <w:tcBorders>
              <w:top w:val="single" w:sz="8" w:color="EEEEEE"/>
              <w:bottom w:val="single" w:sz="8" w:color="auto"/>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bottom w:val="single" w:sz="8" w:color="auto"/>
            </w:tcBorders>
          </w:tcPr>
          <w:p>
            <w:pPr>
              <w:spacing w:after="0" w:line="20" w:lineRule="exact"/>
              <w:rPr>
                <w:sz w:val="1"/>
                <w:szCs w:val="1"/>
                <w:color w:val="auto"/>
              </w:rPr>
            </w:pPr>
          </w:p>
        </w:tc>
        <w:tc>
          <w:tcPr>
            <w:tcW w:w="1440" w:type="dxa"/>
            <w:vAlign w:val="bottom"/>
            <w:tcBorders>
              <w:top w:val="single" w:sz="8" w:color="EEEEEE"/>
              <w:bottom w:val="single" w:sz="8" w:color="auto"/>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bottom w:val="single" w:sz="8" w:color="auto"/>
            </w:tcBorders>
          </w:tcPr>
          <w:p>
            <w:pPr>
              <w:spacing w:after="0" w:line="20" w:lineRule="exact"/>
              <w:rPr>
                <w:sz w:val="1"/>
                <w:szCs w:val="1"/>
                <w:color w:val="auto"/>
              </w:rPr>
            </w:pPr>
          </w:p>
        </w:tc>
        <w:tc>
          <w:tcPr>
            <w:tcW w:w="1300" w:type="dxa"/>
            <w:vAlign w:val="bottom"/>
            <w:tcBorders>
              <w:top w:val="single" w:sz="8" w:color="EEEE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153,240,169</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155,081,645</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153,830,754</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157,280,206</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-5605780</wp:posOffset>
            </wp:positionV>
            <wp:extent cx="45002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The Statements of Comprehensive Income and corresponding notes to the consolidated financial statements can be found in the Company’s Quarterly Report on Form 10-Q.</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80"/>
          </w:cols>
          <w:pgMar w:left="320" w:top="1440" w:right="399" w:bottom="1440" w:gutter="0" w:footer="0" w:header="0"/>
        </w:sectPr>
      </w:pPr>
    </w:p>
    <w:bookmarkStart w:id="10" w:name="page11"/>
    <w:bookmarkEnd w:id="10"/>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Reconciliation of Non-GAAP Measures</w:t>
      </w: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data)</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 Attributable to Common Shareholders and Unitholders</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960" w:type="dxa"/>
            <w:vAlign w:val="bottom"/>
            <w:shd w:val="clear" w:color="auto" w:fill="162835"/>
          </w:tcPr>
          <w:p>
            <w:pPr>
              <w:spacing w:after="0"/>
              <w:rPr>
                <w:sz w:val="17"/>
                <w:szCs w:val="17"/>
                <w:color w:val="auto"/>
              </w:rPr>
            </w:pPr>
          </w:p>
        </w:tc>
        <w:tc>
          <w:tcPr>
            <w:tcW w:w="3580" w:type="dxa"/>
            <w:vAlign w:val="bottom"/>
            <w:gridSpan w:val="6"/>
            <w:shd w:val="clear" w:color="auto" w:fill="162835"/>
          </w:tcPr>
          <w:p>
            <w:pPr>
              <w:ind w:left="440"/>
              <w:spacing w:after="0"/>
              <w:rPr>
                <w:sz w:val="20"/>
                <w:szCs w:val="20"/>
                <w:color w:val="auto"/>
              </w:rPr>
            </w:pPr>
            <w:r>
              <w:rPr>
                <w:rFonts w:ascii="Times New Roman" w:cs="Times New Roman" w:eastAsia="Times New Roman" w:hAnsi="Times New Roman"/>
                <w:sz w:val="14"/>
                <w:szCs w:val="14"/>
                <w:b w:val="1"/>
                <w:bCs w:val="1"/>
                <w:color w:val="FFFFFF"/>
              </w:rPr>
              <w:t>For the three months ended September 30,</w:t>
            </w:r>
          </w:p>
        </w:tc>
        <w:tc>
          <w:tcPr>
            <w:tcW w:w="280" w:type="dxa"/>
            <w:vAlign w:val="bottom"/>
            <w:shd w:val="clear" w:color="auto" w:fill="162835"/>
          </w:tcPr>
          <w:p>
            <w:pPr>
              <w:spacing w:after="0"/>
              <w:rPr>
                <w:sz w:val="17"/>
                <w:szCs w:val="17"/>
                <w:color w:val="auto"/>
              </w:rPr>
            </w:pPr>
          </w:p>
        </w:tc>
        <w:tc>
          <w:tcPr>
            <w:tcW w:w="3220" w:type="dxa"/>
            <w:vAlign w:val="bottom"/>
            <w:gridSpan w:val="4"/>
            <w:shd w:val="clear" w:color="auto" w:fill="162835"/>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For the nine months ended September 30,</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162835"/>
            </w:tcBorders>
            <w:shd w:val="clear" w:color="auto" w:fill="162835"/>
          </w:tcPr>
          <w:p>
            <w:pPr>
              <w:spacing w:after="0"/>
              <w:rPr>
                <w:sz w:val="17"/>
                <w:szCs w:val="17"/>
                <w:color w:val="auto"/>
              </w:rPr>
            </w:pPr>
          </w:p>
        </w:tc>
        <w:tc>
          <w:tcPr>
            <w:tcW w:w="1080" w:type="dxa"/>
            <w:vAlign w:val="bottom"/>
            <w:tcBorders>
              <w:bottom w:val="single" w:sz="8" w:color="162835"/>
            </w:tcBorders>
            <w:shd w:val="clear" w:color="auto" w:fill="162835"/>
          </w:tcPr>
          <w:p>
            <w:pPr>
              <w:jc w:val="right"/>
              <w:ind w:right="8"/>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620" w:type="dxa"/>
            <w:vAlign w:val="bottom"/>
            <w:tcBorders>
              <w:bottom w:val="single" w:sz="8" w:color="162835"/>
            </w:tcBorders>
            <w:shd w:val="clear" w:color="auto" w:fill="162835"/>
          </w:tcPr>
          <w:p>
            <w:pPr>
              <w:spacing w:after="0"/>
              <w:rPr>
                <w:sz w:val="17"/>
                <w:szCs w:val="17"/>
                <w:color w:val="auto"/>
              </w:rPr>
            </w:pPr>
          </w:p>
        </w:tc>
        <w:tc>
          <w:tcPr>
            <w:tcW w:w="100" w:type="dxa"/>
            <w:vAlign w:val="bottom"/>
            <w:tcBorders>
              <w:bottom w:val="single" w:sz="8" w:color="162835"/>
            </w:tcBorders>
            <w:shd w:val="clear" w:color="auto" w:fill="162835"/>
          </w:tcPr>
          <w:p>
            <w:pPr>
              <w:spacing w:after="0"/>
              <w:rPr>
                <w:sz w:val="17"/>
                <w:szCs w:val="17"/>
                <w:color w:val="auto"/>
              </w:rPr>
            </w:pPr>
          </w:p>
        </w:tc>
        <w:tc>
          <w:tcPr>
            <w:tcW w:w="400" w:type="dxa"/>
            <w:vAlign w:val="bottom"/>
            <w:tcBorders>
              <w:bottom w:val="single" w:sz="8" w:color="162835"/>
            </w:tcBorders>
            <w:shd w:val="clear" w:color="auto" w:fill="162835"/>
          </w:tcPr>
          <w:p>
            <w:pPr>
              <w:spacing w:after="0"/>
              <w:rPr>
                <w:sz w:val="17"/>
                <w:szCs w:val="17"/>
                <w:color w:val="auto"/>
              </w:rPr>
            </w:pPr>
          </w:p>
        </w:tc>
        <w:tc>
          <w:tcPr>
            <w:tcW w:w="1300" w:type="dxa"/>
            <w:vAlign w:val="bottom"/>
            <w:tcBorders>
              <w:bottom w:val="single" w:sz="8" w:color="162835"/>
            </w:tcBorders>
            <w:shd w:val="clear" w:color="auto" w:fill="162835"/>
          </w:tcPr>
          <w:p>
            <w:pPr>
              <w:jc w:val="right"/>
              <w:ind w:right="64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0" w:type="dxa"/>
            <w:vAlign w:val="bottom"/>
            <w:tcBorders>
              <w:bottom w:val="single" w:sz="8" w:color="162835"/>
            </w:tcBorders>
            <w:shd w:val="clear" w:color="auto" w:fill="162835"/>
          </w:tcPr>
          <w:p>
            <w:pPr>
              <w:spacing w:after="0"/>
              <w:rPr>
                <w:sz w:val="17"/>
                <w:szCs w:val="17"/>
                <w:color w:val="auto"/>
              </w:rPr>
            </w:pPr>
          </w:p>
        </w:tc>
        <w:tc>
          <w:tcPr>
            <w:tcW w:w="280" w:type="dxa"/>
            <w:vAlign w:val="bottom"/>
            <w:tcBorders>
              <w:bottom w:val="single" w:sz="8" w:color="162835"/>
            </w:tcBorders>
            <w:shd w:val="clear" w:color="auto" w:fill="162835"/>
          </w:tcPr>
          <w:p>
            <w:pPr>
              <w:spacing w:after="0"/>
              <w:rPr>
                <w:sz w:val="17"/>
                <w:szCs w:val="17"/>
                <w:color w:val="auto"/>
              </w:rPr>
            </w:pPr>
          </w:p>
        </w:tc>
        <w:tc>
          <w:tcPr>
            <w:tcW w:w="1420" w:type="dxa"/>
            <w:vAlign w:val="bottom"/>
            <w:tcBorders>
              <w:bottom w:val="single" w:sz="8" w:color="162835"/>
            </w:tcBorders>
            <w:shd w:val="clear" w:color="auto" w:fill="162835"/>
          </w:tcPr>
          <w:p>
            <w:pPr>
              <w:jc w:val="right"/>
              <w:ind w:right="628"/>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00" w:type="dxa"/>
            <w:vAlign w:val="bottom"/>
            <w:tcBorders>
              <w:bottom w:val="single" w:sz="8" w:color="162835"/>
            </w:tcBorders>
            <w:shd w:val="clear" w:color="auto" w:fill="162835"/>
          </w:tcPr>
          <w:p>
            <w:pPr>
              <w:spacing w:after="0"/>
              <w:rPr>
                <w:sz w:val="17"/>
                <w:szCs w:val="17"/>
                <w:color w:val="auto"/>
              </w:rPr>
            </w:pPr>
          </w:p>
        </w:tc>
        <w:tc>
          <w:tcPr>
            <w:tcW w:w="400" w:type="dxa"/>
            <w:vAlign w:val="bottom"/>
            <w:tcBorders>
              <w:bottom w:val="single" w:sz="8" w:color="162835"/>
            </w:tcBorders>
            <w:shd w:val="clear" w:color="auto" w:fill="162835"/>
          </w:tcPr>
          <w:p>
            <w:pPr>
              <w:spacing w:after="0"/>
              <w:rPr>
                <w:sz w:val="17"/>
                <w:szCs w:val="17"/>
                <w:color w:val="auto"/>
              </w:rPr>
            </w:pPr>
          </w:p>
        </w:tc>
        <w:tc>
          <w:tcPr>
            <w:tcW w:w="1300" w:type="dxa"/>
            <w:vAlign w:val="bottom"/>
            <w:tcBorders>
              <w:bottom w:val="single" w:sz="8" w:color="162835"/>
            </w:tcBorders>
            <w:shd w:val="clear" w:color="auto" w:fill="162835"/>
          </w:tcPr>
          <w:p>
            <w:pPr>
              <w:jc w:val="right"/>
              <w:ind w:right="62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0" w:type="dxa"/>
            <w:vAlign w:val="bottom"/>
          </w:tcPr>
          <w:p>
            <w:pPr>
              <w:spacing w:after="0"/>
              <w:rPr>
                <w:sz w:val="1"/>
                <w:szCs w:val="1"/>
                <w:color w:val="auto"/>
              </w:rPr>
            </w:pPr>
          </w:p>
        </w:tc>
      </w:tr>
      <w:tr>
        <w:trPr>
          <w:trHeight w:val="203"/>
        </w:trPr>
        <w:tc>
          <w:tcPr>
            <w:tcW w:w="39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shd w:val="clear" w:color="auto" w:fill="EEEEEE"/>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20,643</w:t>
            </w:r>
          </w:p>
        </w:tc>
        <w:tc>
          <w:tcPr>
            <w:tcW w:w="100" w:type="dxa"/>
            <w:vAlign w:val="bottom"/>
            <w:shd w:val="clear" w:color="auto" w:fill="EEEEEE"/>
          </w:tcPr>
          <w:p>
            <w:pPr>
              <w:spacing w:after="0"/>
              <w:rPr>
                <w:sz w:val="17"/>
                <w:szCs w:val="17"/>
                <w:color w:val="auto"/>
              </w:rPr>
            </w:pPr>
          </w:p>
        </w:tc>
        <w:tc>
          <w:tcPr>
            <w:tcW w:w="400" w:type="dxa"/>
            <w:vAlign w:val="bottom"/>
            <w:shd w:val="clear" w:color="auto" w:fill="EEEEEE"/>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16,343</w:t>
            </w:r>
          </w:p>
        </w:tc>
        <w:tc>
          <w:tcPr>
            <w:tcW w:w="80" w:type="dxa"/>
            <w:vAlign w:val="bottom"/>
            <w:shd w:val="clear" w:color="auto" w:fill="EEEEEE"/>
          </w:tcPr>
          <w:p>
            <w:pPr>
              <w:spacing w:after="0"/>
              <w:rPr>
                <w:sz w:val="17"/>
                <w:szCs w:val="17"/>
                <w:color w:val="auto"/>
              </w:rPr>
            </w:pPr>
          </w:p>
        </w:tc>
        <w:tc>
          <w:tcPr>
            <w:tcW w:w="280" w:type="dxa"/>
            <w:vAlign w:val="bottom"/>
            <w:shd w:val="clear" w:color="auto" w:fill="EEEEEE"/>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62,680</w:t>
            </w:r>
          </w:p>
        </w:tc>
        <w:tc>
          <w:tcPr>
            <w:tcW w:w="100" w:type="dxa"/>
            <w:vAlign w:val="bottom"/>
            <w:shd w:val="clear" w:color="auto" w:fill="EEEEEE"/>
          </w:tcPr>
          <w:p>
            <w:pPr>
              <w:spacing w:after="0"/>
              <w:rPr>
                <w:sz w:val="17"/>
                <w:szCs w:val="17"/>
                <w:color w:val="auto"/>
              </w:rPr>
            </w:pPr>
          </w:p>
        </w:tc>
        <w:tc>
          <w:tcPr>
            <w:tcW w:w="400" w:type="dxa"/>
            <w:vAlign w:val="bottom"/>
            <w:shd w:val="clear" w:color="auto" w:fill="EEEEEE"/>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68,577</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dividends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(18,836)</w:t>
            </w:r>
          </w:p>
        </w:tc>
        <w:tc>
          <w:tcPr>
            <w:tcW w:w="0" w:type="dxa"/>
            <w:vAlign w:val="bottom"/>
          </w:tcPr>
          <w:p>
            <w:pPr>
              <w:spacing w:after="0"/>
              <w:rPr>
                <w:sz w:val="1"/>
                <w:szCs w:val="1"/>
                <w:color w:val="auto"/>
              </w:rPr>
            </w:pPr>
          </w:p>
        </w:tc>
      </w:tr>
      <w:tr>
        <w:trPr>
          <w:trHeight w:val="210"/>
        </w:trPr>
        <w:tc>
          <w:tcPr>
            <w:tcW w:w="39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44,892</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44,727</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134,045</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134,648</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sale of hotel properties, net</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39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Noncontrolling interest in consolidated joint ventures</w:t>
            </w:r>
          </w:p>
        </w:tc>
        <w:tc>
          <w:tcPr>
            <w:tcW w:w="10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related to consolidated joint venture (1)</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10"/>
        </w:trPr>
        <w:tc>
          <w:tcPr>
            <w:tcW w:w="39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Adjustments related to unconsolidated joint venture (2)</w:t>
            </w:r>
          </w:p>
        </w:tc>
        <w:tc>
          <w:tcPr>
            <w:tcW w:w="1080" w:type="dxa"/>
            <w:vAlign w:val="bottom"/>
            <w:tcBorders>
              <w:bottom w:val="single" w:sz="8" w:color="auto"/>
            </w:tcBorders>
            <w:shd w:val="clear" w:color="auto" w:fill="EEEEEE"/>
          </w:tcPr>
          <w:p>
            <w:pPr>
              <w:spacing w:after="0"/>
              <w:rPr>
                <w:sz w:val="18"/>
                <w:szCs w:val="18"/>
                <w:color w:val="auto"/>
              </w:rPr>
            </w:pPr>
          </w:p>
        </w:tc>
        <w:tc>
          <w:tcPr>
            <w:tcW w:w="6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spacing w:after="0"/>
              <w:rPr>
                <w:sz w:val="18"/>
                <w:szCs w:val="18"/>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190"/>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FFO</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54,689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55,104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170,315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185,126</w:t>
            </w:r>
          </w:p>
        </w:tc>
        <w:tc>
          <w:tcPr>
            <w:tcW w:w="0" w:type="dxa"/>
            <w:vAlign w:val="bottom"/>
          </w:tcPr>
          <w:p>
            <w:pPr>
              <w:spacing w:after="0"/>
              <w:rPr>
                <w:sz w:val="1"/>
                <w:szCs w:val="1"/>
                <w:color w:val="auto"/>
              </w:rPr>
            </w:pPr>
          </w:p>
        </w:tc>
      </w:tr>
      <w:tr>
        <w:trPr>
          <w:trHeight w:val="209"/>
        </w:trPr>
        <w:tc>
          <w:tcPr>
            <w:tcW w:w="39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10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Pre-opening costs (3)</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0" w:type="dxa"/>
            <w:vAlign w:val="bottom"/>
          </w:tcPr>
          <w:p>
            <w:pPr>
              <w:spacing w:after="0"/>
              <w:rPr>
                <w:sz w:val="1"/>
                <w:szCs w:val="1"/>
                <w:color w:val="auto"/>
              </w:rPr>
            </w:pPr>
          </w:p>
        </w:tc>
      </w:tr>
      <w:tr>
        <w:trPr>
          <w:trHeight w:val="210"/>
        </w:trPr>
        <w:tc>
          <w:tcPr>
            <w:tcW w:w="39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Loss on extinguishment of indebtedness, net</w:t>
            </w:r>
          </w:p>
        </w:tc>
        <w:tc>
          <w:tcPr>
            <w:tcW w:w="10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18,028</w:t>
            </w:r>
          </w:p>
        </w:tc>
        <w:tc>
          <w:tcPr>
            <w:tcW w:w="0" w:type="dxa"/>
            <w:vAlign w:val="bottom"/>
          </w:tcPr>
          <w:p>
            <w:pPr>
              <w:spacing w:after="0"/>
              <w:rPr>
                <w:sz w:val="1"/>
                <w:szCs w:val="1"/>
                <w:color w:val="auto"/>
              </w:rPr>
            </w:pPr>
          </w:p>
        </w:tc>
      </w:tr>
      <w:tr>
        <w:trPr>
          <w:trHeight w:val="146"/>
        </w:trPr>
        <w:tc>
          <w:tcPr>
            <w:tcW w:w="3960" w:type="dxa"/>
            <w:vAlign w:val="bottom"/>
            <w:shd w:val="clear" w:color="auto" w:fill="EEEEEE"/>
          </w:tcPr>
          <w:p>
            <w:pPr>
              <w:ind w:left="20"/>
              <w:spacing w:after="0" w:line="147" w:lineRule="exact"/>
              <w:rPr>
                <w:sz w:val="20"/>
                <w:szCs w:val="20"/>
                <w:color w:val="auto"/>
              </w:rPr>
            </w:pPr>
            <w:r>
              <w:rPr>
                <w:rFonts w:ascii="Times New Roman" w:cs="Times New Roman" w:eastAsia="Times New Roman" w:hAnsi="Times New Roman"/>
                <w:sz w:val="14"/>
                <w:szCs w:val="14"/>
                <w:color w:val="auto"/>
              </w:rPr>
              <w:t>Non-cash interest expense related to discontinued interest rate</w:t>
            </w:r>
          </w:p>
        </w:tc>
        <w:tc>
          <w:tcPr>
            <w:tcW w:w="1080" w:type="dxa"/>
            <w:vAlign w:val="bottom"/>
            <w:shd w:val="clear" w:color="auto" w:fill="EEEEEE"/>
          </w:tcPr>
          <w:p>
            <w:pPr>
              <w:spacing w:after="0"/>
              <w:rPr>
                <w:sz w:val="12"/>
                <w:szCs w:val="12"/>
                <w:color w:val="auto"/>
              </w:rPr>
            </w:pPr>
          </w:p>
        </w:tc>
        <w:tc>
          <w:tcPr>
            <w:tcW w:w="62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130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42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130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98"/>
        </w:trPr>
        <w:tc>
          <w:tcPr>
            <w:tcW w:w="39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hedges</w:t>
            </w:r>
          </w:p>
        </w:tc>
        <w:tc>
          <w:tcPr>
            <w:tcW w:w="1080" w:type="dxa"/>
            <w:vAlign w:val="bottom"/>
            <w:shd w:val="clear" w:color="auto" w:fill="EEEEEE"/>
          </w:tcPr>
          <w:p>
            <w:pPr>
              <w:spacing w:after="0"/>
              <w:rPr>
                <w:sz w:val="17"/>
                <w:szCs w:val="17"/>
                <w:color w:val="auto"/>
              </w:rPr>
            </w:pPr>
          </w:p>
        </w:tc>
        <w:tc>
          <w:tcPr>
            <w:tcW w:w="620" w:type="dxa"/>
            <w:vAlign w:val="bottom"/>
            <w:vMerge w:val="continue"/>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300" w:type="dxa"/>
            <w:vAlign w:val="bottom"/>
            <w:vMerge w:val="continue"/>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420" w:type="dxa"/>
            <w:vAlign w:val="bottom"/>
            <w:vMerge w:val="continue"/>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300" w:type="dxa"/>
            <w:vAlign w:val="bottom"/>
            <w:vMerge w:val="continue"/>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Other expenses (4)</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Borders>
              <w:bottom w:val="single" w:sz="8" w:color="EEEEEE"/>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80" w:type="dxa"/>
            <w:vAlign w:val="bottom"/>
            <w:tcBorders>
              <w:bottom w:val="single" w:sz="8" w:color="EE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100" w:type="dxa"/>
            <w:vAlign w:val="bottom"/>
            <w:tcBorders>
              <w:bottom w:val="single" w:sz="8" w:color="EEEEEE"/>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227"/>
        </w:trPr>
        <w:tc>
          <w:tcPr>
            <w:tcW w:w="3960" w:type="dxa"/>
            <w:vAlign w:val="bottom"/>
            <w:tcBorders>
              <w:bottom w:val="single" w:sz="8" w:color="EEEEEE"/>
            </w:tcBorders>
            <w:shd w:val="clear" w:color="auto" w:fill="EEEEEE"/>
          </w:tcPr>
          <w:p>
            <w:pPr>
              <w:ind w:left="140"/>
              <w:spacing w:after="0"/>
              <w:rPr>
                <w:sz w:val="20"/>
                <w:szCs w:val="20"/>
                <w:color w:val="auto"/>
              </w:rPr>
            </w:pPr>
            <w:r>
              <w:rPr>
                <w:rFonts w:ascii="Times New Roman" w:cs="Times New Roman" w:eastAsia="Times New Roman" w:hAnsi="Times New Roman"/>
                <w:sz w:val="14"/>
                <w:szCs w:val="14"/>
                <w:b w:val="1"/>
                <w:bCs w:val="1"/>
                <w:color w:val="auto"/>
              </w:rPr>
              <w:t>Adjusted FFO</w:t>
            </w:r>
          </w:p>
        </w:tc>
        <w:tc>
          <w:tcPr>
            <w:tcW w:w="1080" w:type="dxa"/>
            <w:vAlign w:val="bottom"/>
            <w:tcBorders>
              <w:bottom w:val="single" w:sz="8" w:color="auto"/>
            </w:tcBorders>
            <w:shd w:val="clear" w:color="auto" w:fill="EEEEEE"/>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61,155</w:t>
            </w:r>
          </w:p>
        </w:tc>
        <w:tc>
          <w:tcPr>
            <w:tcW w:w="100" w:type="dxa"/>
            <w:vAlign w:val="bottom"/>
            <w:tcBorders>
              <w:bottom w:val="single" w:sz="8" w:color="EEEEEE"/>
            </w:tcBorders>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63,092</w:t>
            </w:r>
          </w:p>
        </w:tc>
        <w:tc>
          <w:tcPr>
            <w:tcW w:w="8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191,634</w:t>
            </w:r>
          </w:p>
        </w:tc>
        <w:tc>
          <w:tcPr>
            <w:tcW w:w="100" w:type="dxa"/>
            <w:vAlign w:val="bottom"/>
            <w:tcBorders>
              <w:bottom w:val="single" w:sz="8" w:color="EEEEEE"/>
            </w:tcBorders>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207,009</w:t>
            </w:r>
          </w:p>
        </w:tc>
        <w:tc>
          <w:tcPr>
            <w:tcW w:w="0" w:type="dxa"/>
            <w:vAlign w:val="bottom"/>
          </w:tcPr>
          <w:p>
            <w:pPr>
              <w:spacing w:after="0"/>
              <w:rPr>
                <w:sz w:val="1"/>
                <w:szCs w:val="1"/>
                <w:color w:val="auto"/>
              </w:rPr>
            </w:pPr>
          </w:p>
        </w:tc>
      </w:tr>
      <w:tr>
        <w:trPr>
          <w:trHeight w:val="20"/>
        </w:trPr>
        <w:tc>
          <w:tcPr>
            <w:tcW w:w="39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bottom w:val="single" w:sz="8" w:color="auto"/>
            </w:tcBorders>
          </w:tcPr>
          <w:p>
            <w:pPr>
              <w:spacing w:after="0" w:line="20" w:lineRule="exact"/>
              <w:rPr>
                <w:sz w:val="1"/>
                <w:szCs w:val="1"/>
                <w:color w:val="auto"/>
              </w:rPr>
            </w:pPr>
          </w:p>
        </w:tc>
        <w:tc>
          <w:tcPr>
            <w:tcW w:w="620" w:type="dxa"/>
            <w:vAlign w:val="bottom"/>
            <w:tcBorders>
              <w:top w:val="single" w:sz="8" w:color="EEEEEE"/>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bottom w:val="single" w:sz="8" w:color="auto"/>
            </w:tcBorders>
          </w:tcPr>
          <w:p>
            <w:pPr>
              <w:spacing w:after="0" w:line="20" w:lineRule="exact"/>
              <w:rPr>
                <w:sz w:val="1"/>
                <w:szCs w:val="1"/>
                <w:color w:val="auto"/>
              </w:rPr>
            </w:pPr>
          </w:p>
        </w:tc>
        <w:tc>
          <w:tcPr>
            <w:tcW w:w="1300" w:type="dxa"/>
            <w:vAlign w:val="bottom"/>
            <w:tcBorders>
              <w:top w:val="single" w:sz="8" w:color="EEEEEE"/>
              <w:bottom w:val="single" w:sz="8" w:color="auto"/>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bottom w:val="single" w:sz="8" w:color="auto"/>
            </w:tcBorders>
          </w:tcPr>
          <w:p>
            <w:pPr>
              <w:spacing w:after="0" w:line="20" w:lineRule="exact"/>
              <w:rPr>
                <w:sz w:val="1"/>
                <w:szCs w:val="1"/>
                <w:color w:val="auto"/>
              </w:rPr>
            </w:pPr>
          </w:p>
        </w:tc>
        <w:tc>
          <w:tcPr>
            <w:tcW w:w="1420" w:type="dxa"/>
            <w:vAlign w:val="bottom"/>
            <w:tcBorders>
              <w:top w:val="single" w:sz="8" w:color="EEEEEE"/>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bottom w:val="single" w:sz="8" w:color="auto"/>
            </w:tcBorders>
          </w:tcPr>
          <w:p>
            <w:pPr>
              <w:spacing w:after="0" w:line="20" w:lineRule="exact"/>
              <w:rPr>
                <w:sz w:val="1"/>
                <w:szCs w:val="1"/>
                <w:color w:val="auto"/>
              </w:rPr>
            </w:pPr>
          </w:p>
        </w:tc>
        <w:tc>
          <w:tcPr>
            <w:tcW w:w="1300" w:type="dxa"/>
            <w:vAlign w:val="bottom"/>
            <w:tcBorders>
              <w:top w:val="single" w:sz="8" w:color="EEEE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FFO per common share and unit-basic</w:t>
            </w:r>
          </w:p>
        </w:tc>
        <w:tc>
          <w:tcPr>
            <w:tcW w:w="1080" w:type="dxa"/>
            <w:vAlign w:val="bottom"/>
            <w:shd w:val="clear" w:color="auto" w:fill="EEEEEE"/>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0.40</w:t>
            </w:r>
          </w:p>
        </w:tc>
        <w:tc>
          <w:tcPr>
            <w:tcW w:w="100" w:type="dxa"/>
            <w:vAlign w:val="bottom"/>
            <w:shd w:val="clear" w:color="auto" w:fill="EEEEEE"/>
          </w:tcPr>
          <w:p>
            <w:pPr>
              <w:spacing w:after="0"/>
              <w:rPr>
                <w:sz w:val="17"/>
                <w:szCs w:val="17"/>
                <w:color w:val="auto"/>
              </w:rPr>
            </w:pPr>
          </w:p>
        </w:tc>
        <w:tc>
          <w:tcPr>
            <w:tcW w:w="400" w:type="dxa"/>
            <w:vAlign w:val="bottom"/>
            <w:shd w:val="clear" w:color="auto" w:fill="EEEEEE"/>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0.41</w:t>
            </w:r>
          </w:p>
        </w:tc>
        <w:tc>
          <w:tcPr>
            <w:tcW w:w="80" w:type="dxa"/>
            <w:vAlign w:val="bottom"/>
            <w:shd w:val="clear" w:color="auto" w:fill="EEEEEE"/>
          </w:tcPr>
          <w:p>
            <w:pPr>
              <w:spacing w:after="0"/>
              <w:rPr>
                <w:sz w:val="17"/>
                <w:szCs w:val="17"/>
                <w:color w:val="auto"/>
              </w:rPr>
            </w:pPr>
          </w:p>
        </w:tc>
        <w:tc>
          <w:tcPr>
            <w:tcW w:w="280" w:type="dxa"/>
            <w:vAlign w:val="bottom"/>
            <w:shd w:val="clear" w:color="auto" w:fill="EEEEEE"/>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1.24</w:t>
            </w:r>
          </w:p>
        </w:tc>
        <w:tc>
          <w:tcPr>
            <w:tcW w:w="100" w:type="dxa"/>
            <w:vAlign w:val="bottom"/>
            <w:shd w:val="clear" w:color="auto" w:fill="EEEEEE"/>
          </w:tcPr>
          <w:p>
            <w:pPr>
              <w:spacing w:after="0"/>
              <w:rPr>
                <w:sz w:val="17"/>
                <w:szCs w:val="17"/>
                <w:color w:val="auto"/>
              </w:rPr>
            </w:pPr>
          </w:p>
        </w:tc>
        <w:tc>
          <w:tcPr>
            <w:tcW w:w="400" w:type="dxa"/>
            <w:vAlign w:val="bottom"/>
            <w:shd w:val="clear" w:color="auto" w:fill="EEEEEE"/>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1.31</w:t>
            </w:r>
          </w:p>
        </w:tc>
        <w:tc>
          <w:tcPr>
            <w:tcW w:w="0" w:type="dxa"/>
            <w:vAlign w:val="bottom"/>
          </w:tcPr>
          <w:p>
            <w:pPr>
              <w:spacing w:after="0"/>
              <w:rPr>
                <w:sz w:val="1"/>
                <w:szCs w:val="1"/>
                <w:color w:val="auto"/>
              </w:rPr>
            </w:pPr>
          </w:p>
        </w:tc>
      </w:tr>
      <w:tr>
        <w:trPr>
          <w:trHeight w:val="19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FFO per common share and unit-diluted</w:t>
            </w:r>
          </w:p>
        </w:tc>
        <w:tc>
          <w:tcPr>
            <w:tcW w:w="1080" w:type="dxa"/>
            <w:vAlign w:val="bottom"/>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0.40</w:t>
            </w:r>
          </w:p>
        </w:tc>
        <w:tc>
          <w:tcPr>
            <w:tcW w:w="10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0.40</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1.31</w:t>
            </w:r>
          </w:p>
        </w:tc>
        <w:tc>
          <w:tcPr>
            <w:tcW w:w="0" w:type="dxa"/>
            <w:vAlign w:val="bottom"/>
          </w:tcPr>
          <w:p>
            <w:pPr>
              <w:spacing w:after="0"/>
              <w:rPr>
                <w:sz w:val="1"/>
                <w:szCs w:val="1"/>
                <w:color w:val="auto"/>
              </w:rPr>
            </w:pPr>
          </w:p>
        </w:tc>
      </w:tr>
      <w:tr>
        <w:trPr>
          <w:trHeight w:val="276"/>
        </w:trPr>
        <w:tc>
          <w:tcPr>
            <w:tcW w:w="3960" w:type="dxa"/>
            <w:vAlign w:val="bottom"/>
            <w:shd w:val="clear" w:color="auto" w:fill="EEEEEE"/>
          </w:tcPr>
          <w:p>
            <w:pPr>
              <w:spacing w:after="0"/>
              <w:rPr>
                <w:sz w:val="24"/>
                <w:szCs w:val="24"/>
                <w:color w:val="auto"/>
              </w:rPr>
            </w:pPr>
          </w:p>
        </w:tc>
        <w:tc>
          <w:tcPr>
            <w:tcW w:w="1080" w:type="dxa"/>
            <w:vAlign w:val="bottom"/>
            <w:shd w:val="clear" w:color="auto" w:fill="EEEEEE"/>
          </w:tcPr>
          <w:p>
            <w:pPr>
              <w:spacing w:after="0"/>
              <w:rPr>
                <w:sz w:val="24"/>
                <w:szCs w:val="24"/>
                <w:color w:val="auto"/>
              </w:rPr>
            </w:pPr>
          </w:p>
        </w:tc>
        <w:tc>
          <w:tcPr>
            <w:tcW w:w="620" w:type="dxa"/>
            <w:vAlign w:val="bottom"/>
            <w:shd w:val="clear" w:color="auto" w:fill="EEEEEE"/>
          </w:tcPr>
          <w:p>
            <w:pPr>
              <w:spacing w:after="0"/>
              <w:rPr>
                <w:sz w:val="24"/>
                <w:szCs w:val="24"/>
                <w:color w:val="auto"/>
              </w:rPr>
            </w:pPr>
          </w:p>
        </w:tc>
        <w:tc>
          <w:tcPr>
            <w:tcW w:w="100" w:type="dxa"/>
            <w:vAlign w:val="bottom"/>
            <w:shd w:val="clear" w:color="auto" w:fill="EEEEEE"/>
          </w:tcPr>
          <w:p>
            <w:pPr>
              <w:spacing w:after="0"/>
              <w:rPr>
                <w:sz w:val="24"/>
                <w:szCs w:val="24"/>
                <w:color w:val="auto"/>
              </w:rPr>
            </w:pPr>
          </w:p>
        </w:tc>
        <w:tc>
          <w:tcPr>
            <w:tcW w:w="400" w:type="dxa"/>
            <w:vAlign w:val="bottom"/>
            <w:shd w:val="clear" w:color="auto" w:fill="EEEEEE"/>
          </w:tcPr>
          <w:p>
            <w:pPr>
              <w:spacing w:after="0"/>
              <w:rPr>
                <w:sz w:val="24"/>
                <w:szCs w:val="24"/>
                <w:color w:val="auto"/>
              </w:rPr>
            </w:pPr>
          </w:p>
        </w:tc>
        <w:tc>
          <w:tcPr>
            <w:tcW w:w="1300" w:type="dxa"/>
            <w:vAlign w:val="bottom"/>
            <w:shd w:val="clear" w:color="auto" w:fill="EEEEEE"/>
          </w:tcPr>
          <w:p>
            <w:pPr>
              <w:spacing w:after="0"/>
              <w:rPr>
                <w:sz w:val="24"/>
                <w:szCs w:val="24"/>
                <w:color w:val="auto"/>
              </w:rPr>
            </w:pPr>
          </w:p>
        </w:tc>
        <w:tc>
          <w:tcPr>
            <w:tcW w:w="8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1420" w:type="dxa"/>
            <w:vAlign w:val="bottom"/>
            <w:shd w:val="clear" w:color="auto" w:fill="EEEEEE"/>
          </w:tcPr>
          <w:p>
            <w:pPr>
              <w:spacing w:after="0"/>
              <w:rPr>
                <w:sz w:val="24"/>
                <w:szCs w:val="24"/>
                <w:color w:val="auto"/>
              </w:rPr>
            </w:pPr>
          </w:p>
        </w:tc>
        <w:tc>
          <w:tcPr>
            <w:tcW w:w="100" w:type="dxa"/>
            <w:vAlign w:val="bottom"/>
            <w:shd w:val="clear" w:color="auto" w:fill="EEEEEE"/>
          </w:tcPr>
          <w:p>
            <w:pPr>
              <w:spacing w:after="0"/>
              <w:rPr>
                <w:sz w:val="24"/>
                <w:szCs w:val="24"/>
                <w:color w:val="auto"/>
              </w:rPr>
            </w:pPr>
          </w:p>
        </w:tc>
        <w:tc>
          <w:tcPr>
            <w:tcW w:w="400" w:type="dxa"/>
            <w:vAlign w:val="bottom"/>
            <w:shd w:val="clear" w:color="auto" w:fill="EEEEEE"/>
          </w:tcPr>
          <w:p>
            <w:pPr>
              <w:spacing w:after="0"/>
              <w:rPr>
                <w:sz w:val="24"/>
                <w:szCs w:val="24"/>
                <w:color w:val="auto"/>
              </w:rPr>
            </w:pPr>
          </w:p>
        </w:tc>
        <w:tc>
          <w:tcPr>
            <w:tcW w:w="130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weighted-average common shares and units outstanding (5)</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153,842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155,335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153,999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157,577</w:t>
            </w:r>
          </w:p>
        </w:tc>
        <w:tc>
          <w:tcPr>
            <w:tcW w:w="0" w:type="dxa"/>
            <w:vAlign w:val="bottom"/>
          </w:tcPr>
          <w:p>
            <w:pPr>
              <w:spacing w:after="0"/>
              <w:rPr>
                <w:sz w:val="1"/>
                <w:szCs w:val="1"/>
                <w:color w:val="auto"/>
              </w:rPr>
            </w:pPr>
          </w:p>
        </w:tc>
      </w:tr>
      <w:tr>
        <w:trPr>
          <w:trHeight w:val="210"/>
        </w:trPr>
        <w:tc>
          <w:tcPr>
            <w:tcW w:w="396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Diluted weighted-average common shares and units outstanding (5)</w:t>
            </w:r>
          </w:p>
        </w:tc>
        <w:tc>
          <w:tcPr>
            <w:tcW w:w="10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154,012</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155,853</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154,603</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158,052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-3042920</wp:posOffset>
            </wp:positionV>
            <wp:extent cx="45008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00880"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19" w:lineRule="exact"/>
        <w:rPr>
          <w:sz w:val="20"/>
          <w:szCs w:val="20"/>
          <w:color w:val="auto"/>
        </w:rPr>
      </w:pPr>
    </w:p>
    <w:p>
      <w:pPr>
        <w:ind w:left="820" w:hanging="488"/>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and amortization expense allocated to the noncontrolling interest in the consolidated joint venture.</w:t>
      </w:r>
    </w:p>
    <w:p>
      <w:pPr>
        <w:spacing w:after="0" w:line="11"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ownership interest in the depreciation and amortization expense of the unconsolidated joint venture.</w:t>
      </w:r>
    </w:p>
    <w:p>
      <w:pPr>
        <w:spacing w:after="0" w:line="14"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related to the brand conversions of certain hotel properties prior to opening.</w:t>
      </w:r>
    </w:p>
    <w:p>
      <w:pPr>
        <w:spacing w:after="0" w:line="14"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and income outside of the normal course of operations.</w:t>
      </w:r>
    </w:p>
    <w:p>
      <w:pPr>
        <w:spacing w:after="0" w:line="14"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0.8 million weighted-average operating partnership units for the three and nine month periods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40"/>
          </w:cols>
          <w:pgMar w:left="320" w:top="1440" w:right="439" w:bottom="1440" w:gutter="0" w:footer="0" w:header="0"/>
        </w:sectPr>
      </w:pPr>
    </w:p>
    <w:bookmarkStart w:id="11" w:name="page12"/>
    <w:bookmarkEnd w:id="11"/>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Reconciliation of Non-GAAP Measures</w:t>
      </w: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 (EBITDA)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4020" w:type="dxa"/>
            <w:vAlign w:val="bottom"/>
            <w:shd w:val="clear" w:color="auto" w:fill="162835"/>
          </w:tcPr>
          <w:p>
            <w:pPr>
              <w:spacing w:after="0"/>
              <w:rPr>
                <w:sz w:val="17"/>
                <w:szCs w:val="17"/>
                <w:color w:val="auto"/>
              </w:rPr>
            </w:pPr>
          </w:p>
        </w:tc>
        <w:tc>
          <w:tcPr>
            <w:tcW w:w="3060" w:type="dxa"/>
            <w:vAlign w:val="bottom"/>
            <w:gridSpan w:val="4"/>
            <w:shd w:val="clear" w:color="auto" w:fill="162835"/>
          </w:tcPr>
          <w:p>
            <w:pPr>
              <w:jc w:val="right"/>
              <w:spacing w:after="0"/>
              <w:rPr>
                <w:sz w:val="20"/>
                <w:szCs w:val="20"/>
                <w:color w:val="auto"/>
              </w:rPr>
            </w:pPr>
            <w:r>
              <w:rPr>
                <w:rFonts w:ascii="Times New Roman" w:cs="Times New Roman" w:eastAsia="Times New Roman" w:hAnsi="Times New Roman"/>
                <w:sz w:val="14"/>
                <w:szCs w:val="14"/>
                <w:b w:val="1"/>
                <w:bCs w:val="1"/>
                <w:color w:val="FFFFFF"/>
              </w:rPr>
              <w:t>For the three months ended September 30,</w:t>
            </w:r>
          </w:p>
        </w:tc>
        <w:tc>
          <w:tcPr>
            <w:tcW w:w="460" w:type="dxa"/>
            <w:vAlign w:val="bottom"/>
            <w:shd w:val="clear" w:color="auto" w:fill="162835"/>
          </w:tcPr>
          <w:p>
            <w:pPr>
              <w:spacing w:after="0"/>
              <w:rPr>
                <w:sz w:val="17"/>
                <w:szCs w:val="17"/>
                <w:color w:val="auto"/>
              </w:rPr>
            </w:pPr>
          </w:p>
        </w:tc>
        <w:tc>
          <w:tcPr>
            <w:tcW w:w="140" w:type="dxa"/>
            <w:vAlign w:val="bottom"/>
            <w:shd w:val="clear" w:color="auto" w:fill="162835"/>
          </w:tcPr>
          <w:p>
            <w:pPr>
              <w:spacing w:after="0"/>
              <w:rPr>
                <w:sz w:val="17"/>
                <w:szCs w:val="17"/>
                <w:color w:val="auto"/>
              </w:rPr>
            </w:pPr>
          </w:p>
        </w:tc>
        <w:tc>
          <w:tcPr>
            <w:tcW w:w="280" w:type="dxa"/>
            <w:vAlign w:val="bottom"/>
            <w:shd w:val="clear" w:color="auto" w:fill="162835"/>
          </w:tcPr>
          <w:p>
            <w:pPr>
              <w:spacing w:after="0"/>
              <w:rPr>
                <w:sz w:val="17"/>
                <w:szCs w:val="17"/>
                <w:color w:val="auto"/>
              </w:rPr>
            </w:pPr>
          </w:p>
        </w:tc>
        <w:tc>
          <w:tcPr>
            <w:tcW w:w="3240" w:type="dxa"/>
            <w:vAlign w:val="bottom"/>
            <w:gridSpan w:val="4"/>
            <w:shd w:val="clear" w:color="auto" w:fill="162835"/>
          </w:tcPr>
          <w:p>
            <w:pPr>
              <w:jc w:val="right"/>
              <w:ind w:right="408"/>
              <w:spacing w:after="0"/>
              <w:rPr>
                <w:sz w:val="20"/>
                <w:szCs w:val="20"/>
                <w:color w:val="auto"/>
              </w:rPr>
            </w:pPr>
            <w:r>
              <w:rPr>
                <w:rFonts w:ascii="Times New Roman" w:cs="Times New Roman" w:eastAsia="Times New Roman" w:hAnsi="Times New Roman"/>
                <w:sz w:val="14"/>
                <w:szCs w:val="14"/>
                <w:b w:val="1"/>
                <w:bCs w:val="1"/>
                <w:color w:val="FFFFFF"/>
              </w:rPr>
              <w:t>For the nine months ended September 30,</w:t>
            </w:r>
          </w:p>
        </w:tc>
      </w:tr>
      <w:tr>
        <w:trPr>
          <w:trHeight w:val="196"/>
        </w:trPr>
        <w:tc>
          <w:tcPr>
            <w:tcW w:w="4020" w:type="dxa"/>
            <w:vAlign w:val="bottom"/>
            <w:tcBorders>
              <w:bottom w:val="single" w:sz="8" w:color="162835"/>
            </w:tcBorders>
            <w:shd w:val="clear" w:color="auto" w:fill="162835"/>
          </w:tcPr>
          <w:p>
            <w:pPr>
              <w:spacing w:after="0"/>
              <w:rPr>
                <w:sz w:val="17"/>
                <w:szCs w:val="17"/>
                <w:color w:val="auto"/>
              </w:rPr>
            </w:pPr>
          </w:p>
        </w:tc>
        <w:tc>
          <w:tcPr>
            <w:tcW w:w="1080" w:type="dxa"/>
            <w:vAlign w:val="bottom"/>
            <w:tcBorders>
              <w:bottom w:val="single" w:sz="8" w:color="162835"/>
            </w:tcBorders>
            <w:shd w:val="clear" w:color="auto" w:fill="162835"/>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620" w:type="dxa"/>
            <w:vAlign w:val="bottom"/>
            <w:tcBorders>
              <w:bottom w:val="single" w:sz="8" w:color="162835"/>
            </w:tcBorders>
            <w:shd w:val="clear" w:color="auto" w:fill="162835"/>
          </w:tcPr>
          <w:p>
            <w:pPr>
              <w:spacing w:after="0"/>
              <w:rPr>
                <w:sz w:val="17"/>
                <w:szCs w:val="17"/>
                <w:color w:val="auto"/>
              </w:rPr>
            </w:pPr>
          </w:p>
        </w:tc>
        <w:tc>
          <w:tcPr>
            <w:tcW w:w="120" w:type="dxa"/>
            <w:vAlign w:val="bottom"/>
            <w:tcBorders>
              <w:bottom w:val="single" w:sz="8" w:color="162835"/>
            </w:tcBorders>
            <w:shd w:val="clear" w:color="auto" w:fill="162835"/>
          </w:tcPr>
          <w:p>
            <w:pPr>
              <w:spacing w:after="0"/>
              <w:rPr>
                <w:sz w:val="17"/>
                <w:szCs w:val="17"/>
                <w:color w:val="auto"/>
              </w:rPr>
            </w:pPr>
          </w:p>
        </w:tc>
        <w:tc>
          <w:tcPr>
            <w:tcW w:w="1240" w:type="dxa"/>
            <w:vAlign w:val="bottom"/>
            <w:tcBorders>
              <w:bottom w:val="single" w:sz="8" w:color="162835"/>
            </w:tcBorders>
            <w:shd w:val="clear" w:color="auto" w:fill="162835"/>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460" w:type="dxa"/>
            <w:vAlign w:val="bottom"/>
            <w:tcBorders>
              <w:bottom w:val="single" w:sz="8" w:color="162835"/>
            </w:tcBorders>
            <w:shd w:val="clear" w:color="auto" w:fill="162835"/>
          </w:tcPr>
          <w:p>
            <w:pPr>
              <w:spacing w:after="0"/>
              <w:rPr>
                <w:sz w:val="17"/>
                <w:szCs w:val="17"/>
                <w:color w:val="auto"/>
              </w:rPr>
            </w:pPr>
          </w:p>
        </w:tc>
        <w:tc>
          <w:tcPr>
            <w:tcW w:w="140" w:type="dxa"/>
            <w:vAlign w:val="bottom"/>
            <w:tcBorders>
              <w:bottom w:val="single" w:sz="8" w:color="162835"/>
            </w:tcBorders>
            <w:shd w:val="clear" w:color="auto" w:fill="162835"/>
          </w:tcPr>
          <w:p>
            <w:pPr>
              <w:spacing w:after="0"/>
              <w:rPr>
                <w:sz w:val="17"/>
                <w:szCs w:val="17"/>
                <w:color w:val="auto"/>
              </w:rPr>
            </w:pPr>
          </w:p>
        </w:tc>
        <w:tc>
          <w:tcPr>
            <w:tcW w:w="280" w:type="dxa"/>
            <w:vAlign w:val="bottom"/>
            <w:tcBorders>
              <w:bottom w:val="single" w:sz="8" w:color="162835"/>
            </w:tcBorders>
            <w:shd w:val="clear" w:color="auto" w:fill="162835"/>
          </w:tcPr>
          <w:p>
            <w:pPr>
              <w:spacing w:after="0"/>
              <w:rPr>
                <w:sz w:val="17"/>
                <w:szCs w:val="17"/>
                <w:color w:val="auto"/>
              </w:rPr>
            </w:pPr>
          </w:p>
        </w:tc>
        <w:tc>
          <w:tcPr>
            <w:tcW w:w="1420" w:type="dxa"/>
            <w:vAlign w:val="bottom"/>
            <w:tcBorders>
              <w:bottom w:val="single" w:sz="8" w:color="162835"/>
            </w:tcBorders>
            <w:shd w:val="clear" w:color="auto" w:fill="162835"/>
          </w:tcPr>
          <w:p>
            <w:pPr>
              <w:jc w:val="right"/>
              <w:ind w:right="628"/>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0" w:type="dxa"/>
            <w:vAlign w:val="bottom"/>
            <w:tcBorders>
              <w:bottom w:val="single" w:sz="8" w:color="162835"/>
            </w:tcBorders>
            <w:shd w:val="clear" w:color="auto" w:fill="162835"/>
          </w:tcPr>
          <w:p>
            <w:pPr>
              <w:spacing w:after="0"/>
              <w:rPr>
                <w:sz w:val="17"/>
                <w:szCs w:val="17"/>
                <w:color w:val="auto"/>
              </w:rPr>
            </w:pPr>
          </w:p>
        </w:tc>
        <w:tc>
          <w:tcPr>
            <w:tcW w:w="400" w:type="dxa"/>
            <w:vAlign w:val="bottom"/>
            <w:tcBorders>
              <w:bottom w:val="single" w:sz="8" w:color="162835"/>
            </w:tcBorders>
            <w:shd w:val="clear" w:color="auto" w:fill="162835"/>
          </w:tcPr>
          <w:p>
            <w:pPr>
              <w:spacing w:after="0"/>
              <w:rPr>
                <w:sz w:val="17"/>
                <w:szCs w:val="17"/>
                <w:color w:val="auto"/>
              </w:rPr>
            </w:pPr>
          </w:p>
        </w:tc>
        <w:tc>
          <w:tcPr>
            <w:tcW w:w="1300" w:type="dxa"/>
            <w:vAlign w:val="bottom"/>
            <w:tcBorders>
              <w:bottom w:val="single" w:sz="8" w:color="162835"/>
            </w:tcBorders>
            <w:shd w:val="clear" w:color="auto" w:fill="162835"/>
          </w:tcPr>
          <w:p>
            <w:pPr>
              <w:jc w:val="right"/>
              <w:ind w:right="628"/>
              <w:spacing w:after="0"/>
              <w:rPr>
                <w:sz w:val="20"/>
                <w:szCs w:val="20"/>
                <w:color w:val="auto"/>
              </w:rPr>
            </w:pPr>
            <w:r>
              <w:rPr>
                <w:rFonts w:ascii="Times New Roman" w:cs="Times New Roman" w:eastAsia="Times New Roman" w:hAnsi="Times New Roman"/>
                <w:sz w:val="14"/>
                <w:szCs w:val="14"/>
                <w:b w:val="1"/>
                <w:bCs w:val="1"/>
                <w:color w:val="FFFFFF"/>
              </w:rPr>
              <w:t>2023</w:t>
            </w:r>
          </w:p>
        </w:tc>
      </w:tr>
      <w:tr>
        <w:trPr>
          <w:trHeight w:val="203"/>
        </w:trPr>
        <w:tc>
          <w:tcPr>
            <w:tcW w:w="40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shd w:val="clear" w:color="auto" w:fill="EEEEEE"/>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20,643</w:t>
            </w: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w w:val="98"/>
              </w:rPr>
              <w:t>16,343</w:t>
            </w: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62,680</w:t>
            </w:r>
          </w:p>
        </w:tc>
        <w:tc>
          <w:tcPr>
            <w:tcW w:w="120" w:type="dxa"/>
            <w:vAlign w:val="bottom"/>
            <w:shd w:val="clear" w:color="auto" w:fill="EEEEEE"/>
          </w:tcPr>
          <w:p>
            <w:pPr>
              <w:spacing w:after="0"/>
              <w:rPr>
                <w:sz w:val="17"/>
                <w:szCs w:val="17"/>
                <w:color w:val="auto"/>
              </w:rPr>
            </w:pPr>
          </w:p>
        </w:tc>
        <w:tc>
          <w:tcPr>
            <w:tcW w:w="400" w:type="dxa"/>
            <w:vAlign w:val="bottom"/>
            <w:shd w:val="clear" w:color="auto" w:fill="EEEEEE"/>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68,577</w:t>
            </w: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44,892</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44,727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134,045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134,648</w:t>
            </w:r>
          </w:p>
        </w:tc>
      </w:tr>
      <w:tr>
        <w:trPr>
          <w:trHeight w:val="210"/>
        </w:trPr>
        <w:tc>
          <w:tcPr>
            <w:tcW w:w="40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Interest expense, net of interest income</w:t>
            </w:r>
          </w:p>
        </w:tc>
        <w:tc>
          <w:tcPr>
            <w:tcW w:w="108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24,357</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w w:val="98"/>
              </w:rPr>
              <w:t>19,531</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69,959</w:t>
            </w: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59,529</w:t>
            </w: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w:t>
            </w:r>
          </w:p>
        </w:tc>
      </w:tr>
      <w:tr>
        <w:trPr>
          <w:trHeight w:val="210"/>
        </w:trPr>
        <w:tc>
          <w:tcPr>
            <w:tcW w:w="40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Adjustments related to unconsolidated joint venture (1)</w:t>
            </w:r>
          </w:p>
        </w:tc>
        <w:tc>
          <w:tcPr>
            <w:tcW w:w="1080" w:type="dxa"/>
            <w:vAlign w:val="bottom"/>
            <w:tcBorders>
              <w:bottom w:val="single" w:sz="8" w:color="auto"/>
            </w:tcBorders>
            <w:shd w:val="clear" w:color="auto" w:fill="EEEEEE"/>
          </w:tcPr>
          <w:p>
            <w:pPr>
              <w:spacing w:after="0"/>
              <w:rPr>
                <w:sz w:val="18"/>
                <w:szCs w:val="18"/>
                <w:color w:val="auto"/>
              </w:rPr>
            </w:pPr>
          </w:p>
        </w:tc>
        <w:tc>
          <w:tcPr>
            <w:tcW w:w="62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spacing w:after="0"/>
              <w:rPr>
                <w:sz w:val="18"/>
                <w:szCs w:val="18"/>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4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spacing w:after="0"/>
              <w:rPr>
                <w:sz w:val="18"/>
                <w:szCs w:val="18"/>
                <w:color w:val="auto"/>
              </w:rPr>
            </w:pPr>
          </w:p>
        </w:tc>
        <w:tc>
          <w:tcPr>
            <w:tcW w:w="142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998</w:t>
            </w:r>
          </w:p>
        </w:tc>
        <w:tc>
          <w:tcPr>
            <w:tcW w:w="12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1,034</w:t>
            </w:r>
          </w:p>
        </w:tc>
      </w:tr>
      <w:tr>
        <w:trPr>
          <w:trHeight w:val="190"/>
        </w:trPr>
        <w:tc>
          <w:tcPr>
            <w:tcW w:w="4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0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90,602</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81,277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268,763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264,816</w:t>
            </w:r>
          </w:p>
        </w:tc>
      </w:tr>
      <w:tr>
        <w:trPr>
          <w:trHeight w:val="209"/>
        </w:trPr>
        <w:tc>
          <w:tcPr>
            <w:tcW w:w="40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(Gain) loss on sale of hotel properties, net</w:t>
            </w:r>
          </w:p>
        </w:tc>
        <w:tc>
          <w:tcPr>
            <w:tcW w:w="1080" w:type="dxa"/>
            <w:vAlign w:val="bottom"/>
            <w:tcBorders>
              <w:bottom w:val="single" w:sz="8" w:color="auto"/>
            </w:tcBorders>
            <w:shd w:val="clear" w:color="auto" w:fill="EEEEEE"/>
          </w:tcPr>
          <w:p>
            <w:pPr>
              <w:spacing w:after="0"/>
              <w:rPr>
                <w:sz w:val="18"/>
                <w:szCs w:val="18"/>
                <w:color w:val="auto"/>
              </w:rPr>
            </w:pPr>
          </w:p>
        </w:tc>
        <w:tc>
          <w:tcPr>
            <w:tcW w:w="6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120" w:type="dxa"/>
            <w:vAlign w:val="bottom"/>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spacing w:after="0"/>
              <w:rPr>
                <w:sz w:val="18"/>
                <w:szCs w:val="18"/>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spacing w:after="0"/>
              <w:rPr>
                <w:sz w:val="18"/>
                <w:szCs w:val="18"/>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(8,301)</w:t>
            </w:r>
          </w:p>
        </w:tc>
        <w:tc>
          <w:tcPr>
            <w:tcW w:w="12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0"/>
        </w:trPr>
        <w:tc>
          <w:tcPr>
            <w:tcW w:w="4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EBITDA</w:t>
            </w:r>
            <w:r>
              <w:rPr>
                <w:rFonts w:ascii="Times New Roman" w:cs="Times New Roman" w:eastAsia="Times New Roman" w:hAnsi="Times New Roman"/>
                <w:sz w:val="14"/>
                <w:szCs w:val="14"/>
                <w:b w:val="1"/>
                <w:bCs w:val="1"/>
                <w:i w:val="1"/>
                <w:iCs w:val="1"/>
                <w:color w:val="auto"/>
              </w:rPr>
              <w:t>re</w:t>
            </w:r>
          </w:p>
        </w:tc>
        <w:tc>
          <w:tcPr>
            <w:tcW w:w="10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85,847</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81,261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260,462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264,844</w:t>
            </w:r>
          </w:p>
        </w:tc>
      </w:tr>
      <w:tr>
        <w:trPr>
          <w:trHeight w:val="209"/>
        </w:trPr>
        <w:tc>
          <w:tcPr>
            <w:tcW w:w="40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108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Pre-opening costs (2)</w:t>
            </w:r>
          </w:p>
        </w:tc>
        <w:tc>
          <w:tcPr>
            <w:tcW w:w="10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888</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w:t>
            </w:r>
          </w:p>
        </w:tc>
      </w:tr>
      <w:tr>
        <w:trPr>
          <w:trHeight w:val="210"/>
        </w:trPr>
        <w:tc>
          <w:tcPr>
            <w:tcW w:w="40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Loss on extinguishment of indebtedness, net</w:t>
            </w:r>
          </w:p>
        </w:tc>
        <w:tc>
          <w:tcPr>
            <w:tcW w:w="108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10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4,550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16,260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18,028</w:t>
            </w:r>
          </w:p>
        </w:tc>
      </w:tr>
      <w:tr>
        <w:trPr>
          <w:trHeight w:val="210"/>
        </w:trPr>
        <w:tc>
          <w:tcPr>
            <w:tcW w:w="40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Other expenses (3)</w:t>
            </w:r>
          </w:p>
        </w:tc>
        <w:tc>
          <w:tcPr>
            <w:tcW w:w="1080" w:type="dxa"/>
            <w:vAlign w:val="bottom"/>
            <w:tcBorders>
              <w:bottom w:val="single" w:sz="8" w:color="auto"/>
            </w:tcBorders>
            <w:shd w:val="clear" w:color="auto" w:fill="EEEEEE"/>
          </w:tcPr>
          <w:p>
            <w:pPr>
              <w:spacing w:after="0"/>
              <w:rPr>
                <w:sz w:val="18"/>
                <w:szCs w:val="18"/>
                <w:color w:val="auto"/>
              </w:rPr>
            </w:pPr>
          </w:p>
        </w:tc>
        <w:tc>
          <w:tcPr>
            <w:tcW w:w="62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spacing w:after="0"/>
              <w:rPr>
                <w:sz w:val="18"/>
                <w:szCs w:val="18"/>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4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spacing w:after="0"/>
              <w:rPr>
                <w:sz w:val="18"/>
                <w:szCs w:val="18"/>
                <w:color w:val="auto"/>
              </w:rPr>
            </w:pPr>
          </w:p>
        </w:tc>
        <w:tc>
          <w:tcPr>
            <w:tcW w:w="142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2,256</w:t>
            </w:r>
          </w:p>
        </w:tc>
        <w:tc>
          <w:tcPr>
            <w:tcW w:w="120" w:type="dxa"/>
            <w:vAlign w:val="bottom"/>
            <w:shd w:val="clear" w:color="auto" w:fill="EEEEEE"/>
          </w:tcPr>
          <w:p>
            <w:pPr>
              <w:spacing w:after="0"/>
              <w:rPr>
                <w:sz w:val="18"/>
                <w:szCs w:val="18"/>
                <w:color w:val="auto"/>
              </w:rPr>
            </w:pPr>
          </w:p>
        </w:tc>
        <w:tc>
          <w:tcPr>
            <w:tcW w:w="40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1,026</w:t>
            </w:r>
          </w:p>
        </w:tc>
      </w:tr>
      <w:tr>
        <w:trPr>
          <w:trHeight w:val="190"/>
        </w:trPr>
        <w:tc>
          <w:tcPr>
            <w:tcW w:w="4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0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91,927</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88,767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280,494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285,281</w:t>
            </w:r>
          </w:p>
        </w:tc>
      </w:tr>
      <w:tr>
        <w:trPr>
          <w:trHeight w:val="209"/>
        </w:trPr>
        <w:tc>
          <w:tcPr>
            <w:tcW w:w="40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8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8,231</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25,566</w:t>
            </w: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25,002</w:t>
            </w:r>
          </w:p>
        </w:tc>
      </w:tr>
      <w:tr>
        <w:trPr>
          <w:trHeight w:val="196"/>
        </w:trPr>
        <w:tc>
          <w:tcPr>
            <w:tcW w:w="402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Other corporate adjustments</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929</w:t>
            </w:r>
          </w:p>
        </w:tc>
        <w:tc>
          <w:tcPr>
            <w:tcW w:w="120" w:type="dxa"/>
            <w:vAlign w:val="bottom"/>
            <w:tcBorders>
              <w:bottom w:val="single" w:sz="8" w:color="EEEEEE"/>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40" w:type="dxa"/>
            <w:vAlign w:val="bottom"/>
            <w:tcBorders>
              <w:bottom w:val="single" w:sz="8" w:color="EEE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2,285</w:t>
            </w:r>
          </w:p>
        </w:tc>
        <w:tc>
          <w:tcPr>
            <w:tcW w:w="120" w:type="dxa"/>
            <w:vAlign w:val="bottom"/>
            <w:tcBorders>
              <w:bottom w:val="single" w:sz="8" w:color="EEEEEE"/>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w:t>
            </w:r>
          </w:p>
        </w:tc>
      </w:tr>
      <w:tr>
        <w:trPr>
          <w:trHeight w:val="203"/>
        </w:trPr>
        <w:tc>
          <w:tcPr>
            <w:tcW w:w="40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4"/>
                <w:szCs w:val="14"/>
                <w:b w:val="1"/>
                <w:bCs w:val="1"/>
                <w:color w:val="auto"/>
              </w:rPr>
              <w:t>Consolidated Hotel EBITDA</w:t>
            </w:r>
          </w:p>
        </w:tc>
        <w:tc>
          <w:tcPr>
            <w:tcW w:w="1080" w:type="dxa"/>
            <w:vAlign w:val="bottom"/>
            <w:tcBorders>
              <w:bottom w:val="single" w:sz="8" w:color="auto"/>
            </w:tcBorders>
            <w:shd w:val="clear" w:color="auto" w:fill="EEEEEE"/>
          </w:tcPr>
          <w:p>
            <w:pPr>
              <w:spacing w:after="0"/>
              <w:rPr>
                <w:sz w:val="17"/>
                <w:szCs w:val="17"/>
                <w:color w:val="auto"/>
              </w:rPr>
            </w:pPr>
          </w:p>
        </w:tc>
        <w:tc>
          <w:tcPr>
            <w:tcW w:w="62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101,087</w:t>
            </w:r>
          </w:p>
        </w:tc>
        <w:tc>
          <w:tcPr>
            <w:tcW w:w="120" w:type="dxa"/>
            <w:vAlign w:val="bottom"/>
            <w:shd w:val="clear" w:color="auto" w:fill="EEEEEE"/>
          </w:tcPr>
          <w:p>
            <w:pPr>
              <w:spacing w:after="0"/>
              <w:rPr>
                <w:sz w:val="17"/>
                <w:szCs w:val="17"/>
                <w:color w:val="auto"/>
              </w:rPr>
            </w:pPr>
          </w:p>
        </w:tc>
        <w:tc>
          <w:tcPr>
            <w:tcW w:w="1240" w:type="dxa"/>
            <w:vAlign w:val="bottom"/>
            <w:tcBorders>
              <w:bottom w:val="single" w:sz="8" w:color="auto"/>
            </w:tcBorders>
            <w:shd w:val="clear" w:color="auto" w:fill="EEEEEE"/>
          </w:tcPr>
          <w:p>
            <w:pPr>
              <w:spacing w:after="0"/>
              <w:rPr>
                <w:sz w:val="17"/>
                <w:szCs w:val="17"/>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98,140</w:t>
            </w:r>
          </w:p>
        </w:tc>
        <w:tc>
          <w:tcPr>
            <w:tcW w:w="140" w:type="dxa"/>
            <w:vAlign w:val="bottom"/>
            <w:shd w:val="clear" w:color="auto" w:fill="EEEEEE"/>
          </w:tcPr>
          <w:p>
            <w:pPr>
              <w:spacing w:after="0"/>
              <w:rPr>
                <w:sz w:val="17"/>
                <w:szCs w:val="17"/>
                <w:color w:val="auto"/>
              </w:rPr>
            </w:pPr>
          </w:p>
        </w:tc>
        <w:tc>
          <w:tcPr>
            <w:tcW w:w="280" w:type="dxa"/>
            <w:vAlign w:val="bottom"/>
            <w:tcBorders>
              <w:bottom w:val="single" w:sz="8" w:color="auto"/>
            </w:tcBorders>
            <w:shd w:val="clear" w:color="auto" w:fill="EEEEEE"/>
          </w:tcPr>
          <w:p>
            <w:pPr>
              <w:spacing w:after="0"/>
              <w:rPr>
                <w:sz w:val="17"/>
                <w:szCs w:val="17"/>
                <w:color w:val="auto"/>
              </w:rPr>
            </w:pPr>
          </w:p>
        </w:tc>
        <w:tc>
          <w:tcPr>
            <w:tcW w:w="1420" w:type="dxa"/>
            <w:vAlign w:val="bottom"/>
            <w:tcBorders>
              <w:bottom w:val="single" w:sz="8" w:color="auto"/>
            </w:tcBorders>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308,345</w:t>
            </w:r>
          </w:p>
        </w:tc>
        <w:tc>
          <w:tcPr>
            <w:tcW w:w="120" w:type="dxa"/>
            <w:vAlign w:val="bottom"/>
            <w:shd w:val="clear" w:color="auto" w:fill="EEEEEE"/>
          </w:tcPr>
          <w:p>
            <w:pPr>
              <w:spacing w:after="0"/>
              <w:rPr>
                <w:sz w:val="17"/>
                <w:szCs w:val="17"/>
                <w:color w:val="auto"/>
              </w:rPr>
            </w:pPr>
          </w:p>
        </w:tc>
        <w:tc>
          <w:tcPr>
            <w:tcW w:w="400" w:type="dxa"/>
            <w:vAlign w:val="bottom"/>
            <w:tcBorders>
              <w:bottom w:val="single" w:sz="8" w:color="auto"/>
            </w:tcBorders>
            <w:shd w:val="clear" w:color="auto" w:fill="EEEEEE"/>
          </w:tcPr>
          <w:p>
            <w:pPr>
              <w:spacing w:after="0"/>
              <w:rPr>
                <w:sz w:val="17"/>
                <w:szCs w:val="17"/>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312,292</w:t>
            </w:r>
          </w:p>
        </w:tc>
      </w:tr>
      <w:tr>
        <w:trPr>
          <w:trHeight w:val="18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adjustments - income from sold hotels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r>
      <w:tr>
        <w:trPr>
          <w:trHeight w:val="203"/>
        </w:trPr>
        <w:tc>
          <w:tcPr>
            <w:tcW w:w="40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Comparable adjustments - income from acquired hotels</w:t>
            </w:r>
          </w:p>
        </w:tc>
        <w:tc>
          <w:tcPr>
            <w:tcW w:w="108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42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2,144</w:t>
            </w:r>
          </w:p>
        </w:tc>
      </w:tr>
      <w:tr>
        <w:trPr>
          <w:trHeight w:val="203"/>
        </w:trPr>
        <w:tc>
          <w:tcPr>
            <w:tcW w:w="4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Comparable Hotel EBITDA</w:t>
            </w:r>
          </w:p>
        </w:tc>
        <w:tc>
          <w:tcPr>
            <w:tcW w:w="1080" w:type="dxa"/>
            <w:vAlign w:val="bottom"/>
            <w:tcBorders>
              <w:top w:val="single" w:sz="8" w:color="auto"/>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100,687</w:t>
            </w:r>
          </w:p>
        </w:tc>
        <w:tc>
          <w:tcPr>
            <w:tcW w:w="1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98,156</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307,638</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312,265</w:t>
            </w:r>
          </w:p>
        </w:tc>
      </w:tr>
      <w:tr>
        <w:trPr>
          <w:trHeight w:val="20"/>
        </w:trPr>
        <w:tc>
          <w:tcPr>
            <w:tcW w:w="4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-2794000</wp:posOffset>
            </wp:positionV>
            <wp:extent cx="4568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19" w:lineRule="exact"/>
        <w:rPr>
          <w:sz w:val="20"/>
          <w:szCs w:val="20"/>
          <w:color w:val="auto"/>
        </w:rPr>
      </w:pPr>
    </w:p>
    <w:p>
      <w:pPr>
        <w:ind w:left="820" w:hanging="488"/>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ownership interest in the interest, depreciation, and amortization expense of the unconsolidated joint venture.</w:t>
      </w:r>
    </w:p>
    <w:p>
      <w:pPr>
        <w:spacing w:after="0" w:line="11"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related to the brand conversions of certain hotel properties prior to opening.</w:t>
      </w:r>
    </w:p>
    <w:p>
      <w:pPr>
        <w:spacing w:after="0" w:line="14"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and income outside of the normal course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40"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Hotel EBITDA Margin</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revenue</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Comparable adjustments - revenue from sold hotels</w:t>
      </w:r>
    </w:p>
    <w:p>
      <w:pPr>
        <w:spacing w:after="0" w:line="42"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4"/>
          <w:szCs w:val="14"/>
          <w:color w:val="auto"/>
        </w:rPr>
        <w:t>Comparable adjustments - revenue from prior ownership of acquired hotels</w:t>
      </w:r>
    </w:p>
    <w:p>
      <w:pPr>
        <w:spacing w:after="0" w:line="1" w:lineRule="exact"/>
        <w:rPr>
          <w:sz w:val="20"/>
          <w:szCs w:val="20"/>
          <w:color w:val="auto"/>
        </w:rPr>
      </w:pPr>
    </w:p>
    <w:p>
      <w:pPr>
        <w:ind w:left="20" w:right="620"/>
        <w:spacing w:after="0" w:line="402" w:lineRule="auto"/>
        <w:rPr>
          <w:sz w:val="20"/>
          <w:szCs w:val="20"/>
          <w:color w:val="auto"/>
        </w:rPr>
      </w:pPr>
      <w:r>
        <w:rPr>
          <w:rFonts w:ascii="Times New Roman" w:cs="Times New Roman" w:eastAsia="Times New Roman" w:hAnsi="Times New Roman"/>
          <w:sz w:val="14"/>
          <w:szCs w:val="14"/>
          <w:color w:val="auto"/>
        </w:rPr>
        <w:t xml:space="preserve">Other corporate adjustments / non-hotel revenue </w:t>
      </w:r>
      <w:r>
        <w:rPr>
          <w:rFonts w:ascii="Times New Roman" w:cs="Times New Roman" w:eastAsia="Times New Roman" w:hAnsi="Times New Roman"/>
          <w:sz w:val="14"/>
          <w:szCs w:val="14"/>
          <w:b w:val="1"/>
          <w:bCs w:val="1"/>
          <w:color w:val="auto"/>
        </w:rPr>
        <w:t>Comparable Hotel Revenue</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Comparable Hotel EBITDA</w:t>
      </w: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Comparable Hotel EBITDA Margin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32"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21"/>
          <w:szCs w:val="21"/>
          <w:b w:val="1"/>
          <w:bCs w:val="1"/>
          <w:color w:val="auto"/>
        </w:rPr>
        <w:t>Reconciliation of Non-GAAP Measures</w:t>
      </w:r>
    </w:p>
    <w:p>
      <w:pPr>
        <w:spacing w:after="0" w:line="7"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margin data)</w:t>
      </w:r>
    </w:p>
    <w:p>
      <w:pPr>
        <w:spacing w:after="0" w:line="7"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FFFFFF"/>
              </w:rPr>
              <w:t>For the three months ended September 30,</w:t>
            </w:r>
          </w:p>
        </w:tc>
        <w:tc>
          <w:tcPr>
            <w:tcW w:w="320" w:type="dxa"/>
            <w:vAlign w:val="bottom"/>
          </w:tcPr>
          <w:p>
            <w:pPr>
              <w:spacing w:after="0"/>
              <w:rPr>
                <w:sz w:val="16"/>
                <w:szCs w:val="16"/>
                <w:color w:val="auto"/>
              </w:rPr>
            </w:pPr>
          </w:p>
        </w:tc>
        <w:tc>
          <w:tcPr>
            <w:tcW w:w="332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FFFFFF"/>
              </w:rPr>
              <w:t>For the nine months ended September 30,</w:t>
            </w:r>
          </w:p>
        </w:tc>
      </w:tr>
      <w:tr>
        <w:trPr>
          <w:trHeight w:val="23"/>
        </w:trPr>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6"/>
        </w:trPr>
        <w:tc>
          <w:tcPr>
            <w:tcW w:w="300" w:type="dxa"/>
            <w:vAlign w:val="bottom"/>
            <w:tcBorders>
              <w:bottom w:val="single" w:sz="8" w:color="162835"/>
            </w:tcBorders>
            <w:shd w:val="clear" w:color="auto" w:fill="162835"/>
          </w:tcPr>
          <w:p>
            <w:pPr>
              <w:spacing w:after="0"/>
              <w:rPr>
                <w:sz w:val="17"/>
                <w:szCs w:val="17"/>
                <w:color w:val="auto"/>
              </w:rPr>
            </w:pPr>
          </w:p>
        </w:tc>
        <w:tc>
          <w:tcPr>
            <w:tcW w:w="1460" w:type="dxa"/>
            <w:vAlign w:val="bottom"/>
            <w:tcBorders>
              <w:bottom w:val="single" w:sz="8" w:color="162835"/>
            </w:tcBorders>
            <w:shd w:val="clear" w:color="auto" w:fill="162835"/>
          </w:tcPr>
          <w:p>
            <w:pPr>
              <w:jc w:val="right"/>
              <w:ind w:right="648"/>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00" w:type="dxa"/>
            <w:vAlign w:val="bottom"/>
            <w:tcBorders>
              <w:bottom w:val="single" w:sz="8" w:color="162835"/>
            </w:tcBorders>
            <w:shd w:val="clear" w:color="auto" w:fill="162835"/>
          </w:tcPr>
          <w:p>
            <w:pPr>
              <w:spacing w:after="0"/>
              <w:rPr>
                <w:sz w:val="17"/>
                <w:szCs w:val="17"/>
                <w:color w:val="auto"/>
              </w:rPr>
            </w:pPr>
          </w:p>
        </w:tc>
        <w:tc>
          <w:tcPr>
            <w:tcW w:w="420" w:type="dxa"/>
            <w:vAlign w:val="bottom"/>
            <w:tcBorders>
              <w:bottom w:val="single" w:sz="8" w:color="162835"/>
            </w:tcBorders>
            <w:shd w:val="clear" w:color="auto" w:fill="162835"/>
          </w:tcPr>
          <w:p>
            <w:pPr>
              <w:spacing w:after="0"/>
              <w:rPr>
                <w:sz w:val="17"/>
                <w:szCs w:val="17"/>
                <w:color w:val="auto"/>
              </w:rPr>
            </w:pPr>
          </w:p>
        </w:tc>
        <w:tc>
          <w:tcPr>
            <w:tcW w:w="1340" w:type="dxa"/>
            <w:vAlign w:val="bottom"/>
            <w:tcBorders>
              <w:bottom w:val="single" w:sz="8" w:color="162835"/>
            </w:tcBorders>
            <w:shd w:val="clear" w:color="auto" w:fill="162835"/>
          </w:tcPr>
          <w:p>
            <w:pPr>
              <w:jc w:val="right"/>
              <w:ind w:right="66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0" w:type="dxa"/>
            <w:vAlign w:val="bottom"/>
            <w:tcBorders>
              <w:bottom w:val="single" w:sz="8" w:color="162835"/>
            </w:tcBorders>
            <w:shd w:val="clear" w:color="auto" w:fill="162835"/>
          </w:tcPr>
          <w:p>
            <w:pPr>
              <w:spacing w:after="0"/>
              <w:rPr>
                <w:sz w:val="17"/>
                <w:szCs w:val="17"/>
                <w:color w:val="auto"/>
              </w:rPr>
            </w:pPr>
          </w:p>
        </w:tc>
        <w:tc>
          <w:tcPr>
            <w:tcW w:w="320" w:type="dxa"/>
            <w:vAlign w:val="bottom"/>
            <w:tcBorders>
              <w:bottom w:val="single" w:sz="8" w:color="162835"/>
            </w:tcBorders>
            <w:shd w:val="clear" w:color="auto" w:fill="162835"/>
          </w:tcPr>
          <w:p>
            <w:pPr>
              <w:spacing w:after="0"/>
              <w:rPr>
                <w:sz w:val="17"/>
                <w:szCs w:val="17"/>
                <w:color w:val="auto"/>
              </w:rPr>
            </w:pPr>
          </w:p>
        </w:tc>
        <w:tc>
          <w:tcPr>
            <w:tcW w:w="1460" w:type="dxa"/>
            <w:vAlign w:val="bottom"/>
            <w:tcBorders>
              <w:bottom w:val="single" w:sz="8" w:color="162835"/>
            </w:tcBorders>
            <w:shd w:val="clear" w:color="auto" w:fill="162835"/>
          </w:tcPr>
          <w:p>
            <w:pPr>
              <w:jc w:val="right"/>
              <w:ind w:right="668"/>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00" w:type="dxa"/>
            <w:vAlign w:val="bottom"/>
            <w:tcBorders>
              <w:bottom w:val="single" w:sz="8" w:color="162835"/>
            </w:tcBorders>
            <w:shd w:val="clear" w:color="auto" w:fill="162835"/>
          </w:tcPr>
          <w:p>
            <w:pPr>
              <w:spacing w:after="0"/>
              <w:rPr>
                <w:sz w:val="17"/>
                <w:szCs w:val="17"/>
                <w:color w:val="auto"/>
              </w:rPr>
            </w:pPr>
          </w:p>
        </w:tc>
        <w:tc>
          <w:tcPr>
            <w:tcW w:w="400" w:type="dxa"/>
            <w:vAlign w:val="bottom"/>
            <w:tcBorders>
              <w:bottom w:val="single" w:sz="8" w:color="162835"/>
            </w:tcBorders>
            <w:shd w:val="clear" w:color="auto" w:fill="162835"/>
          </w:tcPr>
          <w:p>
            <w:pPr>
              <w:spacing w:after="0"/>
              <w:rPr>
                <w:sz w:val="17"/>
                <w:szCs w:val="17"/>
                <w:color w:val="auto"/>
              </w:rPr>
            </w:pPr>
          </w:p>
        </w:tc>
        <w:tc>
          <w:tcPr>
            <w:tcW w:w="1360" w:type="dxa"/>
            <w:vAlign w:val="bottom"/>
            <w:tcBorders>
              <w:bottom w:val="single" w:sz="8" w:color="162835"/>
            </w:tcBorders>
            <w:shd w:val="clear" w:color="auto" w:fill="162835"/>
          </w:tcPr>
          <w:p>
            <w:pPr>
              <w:jc w:val="right"/>
              <w:ind w:right="668"/>
              <w:spacing w:after="0"/>
              <w:rPr>
                <w:sz w:val="20"/>
                <w:szCs w:val="20"/>
                <w:color w:val="auto"/>
              </w:rPr>
            </w:pPr>
            <w:r>
              <w:rPr>
                <w:rFonts w:ascii="Times New Roman" w:cs="Times New Roman" w:eastAsia="Times New Roman" w:hAnsi="Times New Roman"/>
                <w:sz w:val="14"/>
                <w:szCs w:val="14"/>
                <w:b w:val="1"/>
                <w:bCs w:val="1"/>
                <w:color w:val="FFFFFF"/>
              </w:rPr>
              <w:t>2023</w:t>
            </w:r>
          </w:p>
        </w:tc>
      </w:tr>
      <w:tr>
        <w:trPr>
          <w:trHeight w:val="188"/>
        </w:trPr>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345,744</w:t>
            </w:r>
          </w:p>
        </w:tc>
        <w:tc>
          <w:tcPr>
            <w:tcW w:w="10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334,406</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1,039,451</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1,005,869</w:t>
            </w:r>
          </w:p>
        </w:tc>
      </w:tr>
      <w:tr>
        <w:trPr>
          <w:trHeight w:val="193"/>
        </w:trPr>
        <w:tc>
          <w:tcPr>
            <w:tcW w:w="30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(2,115)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(3,879)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(5,551)</w:t>
            </w:r>
          </w:p>
        </w:tc>
      </w:tr>
      <w:tr>
        <w:trPr>
          <w:trHeight w:val="338"/>
        </w:trPr>
        <w:tc>
          <w:tcPr>
            <w:tcW w:w="30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13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2,518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3,834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7,167</w:t>
            </w:r>
          </w:p>
        </w:tc>
      </w:tr>
      <w:tr>
        <w:trPr>
          <w:trHeight w:val="203"/>
        </w:trPr>
        <w:tc>
          <w:tcPr>
            <w:tcW w:w="30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(52)</w:t>
            </w:r>
          </w:p>
        </w:tc>
      </w:tr>
      <w:tr>
        <w:trPr>
          <w:trHeight w:val="23"/>
        </w:trPr>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344,727</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334,792</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1,039,353</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1,007,433</w:t>
            </w:r>
          </w:p>
        </w:tc>
      </w:tr>
      <w:tr>
        <w:trPr>
          <w:trHeight w:val="27"/>
        </w:trPr>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16"/>
        </w:trPr>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100,687</w:t>
            </w:r>
          </w:p>
        </w:tc>
        <w:tc>
          <w:tcPr>
            <w:tcW w:w="100" w:type="dxa"/>
            <w:vAlign w:val="bottom"/>
          </w:tcPr>
          <w:p>
            <w:pPr>
              <w:spacing w:after="0"/>
              <w:rPr>
                <w:sz w:val="24"/>
                <w:szCs w:val="24"/>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98,156</w:t>
            </w:r>
          </w:p>
        </w:tc>
        <w:tc>
          <w:tcPr>
            <w:tcW w:w="8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307,638</w:t>
            </w:r>
          </w:p>
        </w:tc>
        <w:tc>
          <w:tcPr>
            <w:tcW w:w="100" w:type="dxa"/>
            <w:vAlign w:val="bottom"/>
          </w:tcPr>
          <w:p>
            <w:pPr>
              <w:spacing w:after="0"/>
              <w:rPr>
                <w:sz w:val="24"/>
                <w:szCs w:val="24"/>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312,265</w:t>
            </w:r>
          </w:p>
        </w:tc>
      </w:tr>
      <w:tr>
        <w:trPr>
          <w:trHeight w:val="23"/>
        </w:trPr>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16"/>
        </w:trPr>
        <w:tc>
          <w:tcPr>
            <w:tcW w:w="3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29.2 %</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29.3 %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29.6 %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-1621790</wp:posOffset>
            </wp:positionV>
            <wp:extent cx="7132320" cy="1637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7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380"/>
            <w:col w:w="742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Non-GAAP Measures - Full-Year Outlook</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millions)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 (EBITDA)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shd w:val="clear" w:color="auto" w:fill="162835"/>
          </w:tcPr>
          <w:p>
            <w:pPr>
              <w:spacing w:after="0"/>
              <w:rPr>
                <w:sz w:val="17"/>
                <w:szCs w:val="17"/>
                <w:color w:val="auto"/>
              </w:rPr>
            </w:pPr>
          </w:p>
        </w:tc>
        <w:tc>
          <w:tcPr>
            <w:tcW w:w="2880" w:type="dxa"/>
            <w:vAlign w:val="bottom"/>
            <w:gridSpan w:val="4"/>
            <w:shd w:val="clear" w:color="auto" w:fill="162835"/>
          </w:tcPr>
          <w:p>
            <w:pPr>
              <w:jc w:val="right"/>
              <w:spacing w:after="0"/>
              <w:rPr>
                <w:sz w:val="20"/>
                <w:szCs w:val="20"/>
                <w:color w:val="auto"/>
              </w:rPr>
            </w:pPr>
            <w:r>
              <w:rPr>
                <w:rFonts w:ascii="Times New Roman" w:cs="Times New Roman" w:eastAsia="Times New Roman" w:hAnsi="Times New Roman"/>
                <w:sz w:val="14"/>
                <w:szCs w:val="14"/>
                <w:b w:val="1"/>
                <w:bCs w:val="1"/>
                <w:color w:val="FFFFFF"/>
              </w:rPr>
              <w:t>For the year ended December 31, 2024</w:t>
            </w:r>
          </w:p>
        </w:tc>
        <w:tc>
          <w:tcPr>
            <w:tcW w:w="420" w:type="dxa"/>
            <w:vAlign w:val="bottom"/>
            <w:shd w:val="clear" w:color="auto" w:fill="162835"/>
          </w:tcPr>
          <w:p>
            <w:pPr>
              <w:spacing w:after="0"/>
              <w:rPr>
                <w:sz w:val="17"/>
                <w:szCs w:val="17"/>
                <w:color w:val="auto"/>
              </w:rPr>
            </w:pPr>
          </w:p>
        </w:tc>
      </w:tr>
      <w:tr>
        <w:trPr>
          <w:trHeight w:val="196"/>
        </w:trPr>
        <w:tc>
          <w:tcPr>
            <w:tcW w:w="7940" w:type="dxa"/>
            <w:vAlign w:val="bottom"/>
            <w:tcBorders>
              <w:bottom w:val="single" w:sz="8" w:color="162835"/>
            </w:tcBorders>
            <w:shd w:val="clear" w:color="auto" w:fill="162835"/>
          </w:tcPr>
          <w:p>
            <w:pPr>
              <w:spacing w:after="0"/>
              <w:rPr>
                <w:sz w:val="17"/>
                <w:szCs w:val="17"/>
                <w:color w:val="auto"/>
              </w:rPr>
            </w:pPr>
          </w:p>
        </w:tc>
        <w:tc>
          <w:tcPr>
            <w:tcW w:w="1140" w:type="dxa"/>
            <w:vAlign w:val="bottom"/>
            <w:tcBorders>
              <w:bottom w:val="single" w:sz="8" w:color="162835"/>
            </w:tcBorders>
            <w:shd w:val="clear" w:color="auto" w:fill="162835"/>
          </w:tcPr>
          <w:p>
            <w:pPr>
              <w:jc w:val="right"/>
              <w:spacing w:after="0"/>
              <w:rPr>
                <w:sz w:val="20"/>
                <w:szCs w:val="20"/>
                <w:color w:val="auto"/>
              </w:rPr>
            </w:pPr>
            <w:r>
              <w:rPr>
                <w:rFonts w:ascii="Times New Roman" w:cs="Times New Roman" w:eastAsia="Times New Roman" w:hAnsi="Times New Roman"/>
                <w:sz w:val="14"/>
                <w:szCs w:val="14"/>
                <w:b w:val="1"/>
                <w:bCs w:val="1"/>
                <w:color w:val="FFFFFF"/>
              </w:rPr>
              <w:t>Low End</w:t>
            </w:r>
          </w:p>
        </w:tc>
        <w:tc>
          <w:tcPr>
            <w:tcW w:w="440" w:type="dxa"/>
            <w:vAlign w:val="bottom"/>
            <w:tcBorders>
              <w:bottom w:val="single" w:sz="8" w:color="162835"/>
            </w:tcBorders>
            <w:shd w:val="clear" w:color="auto" w:fill="162835"/>
          </w:tcPr>
          <w:p>
            <w:pPr>
              <w:spacing w:after="0"/>
              <w:rPr>
                <w:sz w:val="17"/>
                <w:szCs w:val="17"/>
                <w:color w:val="auto"/>
              </w:rPr>
            </w:pPr>
          </w:p>
        </w:tc>
        <w:tc>
          <w:tcPr>
            <w:tcW w:w="140" w:type="dxa"/>
            <w:vAlign w:val="bottom"/>
            <w:tcBorders>
              <w:bottom w:val="single" w:sz="8" w:color="162835"/>
            </w:tcBorders>
            <w:shd w:val="clear" w:color="auto" w:fill="162835"/>
          </w:tcPr>
          <w:p>
            <w:pPr>
              <w:spacing w:after="0"/>
              <w:rPr>
                <w:sz w:val="17"/>
                <w:szCs w:val="17"/>
                <w:color w:val="auto"/>
              </w:rPr>
            </w:pPr>
          </w:p>
        </w:tc>
        <w:tc>
          <w:tcPr>
            <w:tcW w:w="1160" w:type="dxa"/>
            <w:vAlign w:val="bottom"/>
            <w:tcBorders>
              <w:bottom w:val="single" w:sz="8" w:color="162835"/>
            </w:tcBorders>
            <w:shd w:val="clear" w:color="auto" w:fill="162835"/>
          </w:tcPr>
          <w:p>
            <w:pPr>
              <w:jc w:val="right"/>
              <w:ind w:right="8"/>
              <w:spacing w:after="0"/>
              <w:rPr>
                <w:sz w:val="20"/>
                <w:szCs w:val="20"/>
                <w:color w:val="auto"/>
              </w:rPr>
            </w:pPr>
            <w:r>
              <w:rPr>
                <w:rFonts w:ascii="Times New Roman" w:cs="Times New Roman" w:eastAsia="Times New Roman" w:hAnsi="Times New Roman"/>
                <w:sz w:val="14"/>
                <w:szCs w:val="14"/>
                <w:b w:val="1"/>
                <w:bCs w:val="1"/>
                <w:color w:val="FFFFFF"/>
              </w:rPr>
              <w:t>High End</w:t>
            </w:r>
          </w:p>
        </w:tc>
        <w:tc>
          <w:tcPr>
            <w:tcW w:w="420" w:type="dxa"/>
            <w:vAlign w:val="bottom"/>
            <w:tcBorders>
              <w:bottom w:val="single" w:sz="8" w:color="162835"/>
            </w:tcBorders>
            <w:shd w:val="clear" w:color="auto" w:fill="162835"/>
          </w:tcPr>
          <w:p>
            <w:pPr>
              <w:spacing w:after="0"/>
              <w:rPr>
                <w:sz w:val="17"/>
                <w:szCs w:val="17"/>
                <w:color w:val="auto"/>
              </w:rPr>
            </w:pPr>
          </w:p>
        </w:tc>
      </w:tr>
      <w:tr>
        <w:trPr>
          <w:trHeight w:val="203"/>
        </w:trPr>
        <w:tc>
          <w:tcPr>
            <w:tcW w:w="79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shd w:val="clear" w:color="auto" w:fill="EEEEEE"/>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EEEEEE"/>
          </w:tcPr>
          <w:p>
            <w:pPr>
              <w:spacing w:after="0"/>
              <w:rPr>
                <w:sz w:val="17"/>
                <w:szCs w:val="17"/>
                <w:color w:val="auto"/>
              </w:rPr>
            </w:pPr>
          </w:p>
        </w:tc>
        <w:tc>
          <w:tcPr>
            <w:tcW w:w="1160" w:type="dxa"/>
            <w:vAlign w:val="bottom"/>
            <w:shd w:val="clear" w:color="auto" w:fill="EEEEEE"/>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68.0</w:t>
            </w:r>
          </w:p>
        </w:tc>
      </w:tr>
      <w:tr>
        <w:trPr>
          <w:trHeight w:val="195"/>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r>
      <w:tr>
        <w:trPr>
          <w:trHeight w:val="210"/>
        </w:trPr>
        <w:tc>
          <w:tcPr>
            <w:tcW w:w="79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Interest expense, net of interest income</w:t>
            </w:r>
          </w:p>
        </w:tc>
        <w:tc>
          <w:tcPr>
            <w:tcW w:w="11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94.0</w:t>
            </w:r>
          </w:p>
        </w:tc>
      </w:tr>
      <w:tr>
        <w:trPr>
          <w:trHeight w:val="195"/>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79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Adjustments related to joint ventures</w:t>
            </w:r>
          </w:p>
        </w:tc>
        <w:tc>
          <w:tcPr>
            <w:tcW w:w="1140" w:type="dxa"/>
            <w:vAlign w:val="bottom"/>
            <w:tcBorders>
              <w:bottom w:val="single" w:sz="8" w:color="auto"/>
            </w:tcBorders>
            <w:shd w:val="clear" w:color="auto" w:fill="EEEEEE"/>
          </w:tcPr>
          <w:p>
            <w:pPr>
              <w:spacing w:after="0"/>
              <w:rPr>
                <w:sz w:val="18"/>
                <w:szCs w:val="18"/>
                <w:color w:val="auto"/>
              </w:rPr>
            </w:pPr>
          </w:p>
        </w:tc>
        <w:tc>
          <w:tcPr>
            <w:tcW w:w="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EEEEEE"/>
          </w:tcPr>
          <w:p>
            <w:pPr>
              <w:spacing w:after="0"/>
              <w:rPr>
                <w:sz w:val="18"/>
                <w:szCs w:val="18"/>
                <w:color w:val="auto"/>
              </w:rPr>
            </w:pPr>
          </w:p>
        </w:tc>
        <w:tc>
          <w:tcPr>
            <w:tcW w:w="1160" w:type="dxa"/>
            <w:vAlign w:val="bottom"/>
            <w:tcBorders>
              <w:bottom w:val="single" w:sz="8" w:color="auto"/>
            </w:tcBorders>
            <w:shd w:val="clear" w:color="auto" w:fill="EEEEEE"/>
          </w:tcPr>
          <w:p>
            <w:pPr>
              <w:spacing w:after="0"/>
              <w:rPr>
                <w:sz w:val="18"/>
                <w:szCs w:val="18"/>
                <w:color w:val="auto"/>
              </w:rPr>
            </w:pPr>
          </w:p>
        </w:tc>
        <w:tc>
          <w:tcPr>
            <w:tcW w:w="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0"/>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332.0</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352.0</w:t>
            </w:r>
          </w:p>
        </w:tc>
      </w:tr>
      <w:tr>
        <w:trPr>
          <w:trHeight w:val="209"/>
        </w:trPr>
        <w:tc>
          <w:tcPr>
            <w:tcW w:w="79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Gain on sale of hotel properties, net</w:t>
            </w:r>
          </w:p>
        </w:tc>
        <w:tc>
          <w:tcPr>
            <w:tcW w:w="1140" w:type="dxa"/>
            <w:vAlign w:val="bottom"/>
            <w:tcBorders>
              <w:bottom w:val="single" w:sz="8" w:color="auto"/>
            </w:tcBorders>
            <w:shd w:val="clear" w:color="auto" w:fill="EEEEEE"/>
          </w:tcPr>
          <w:p>
            <w:pPr>
              <w:spacing w:after="0"/>
              <w:rPr>
                <w:sz w:val="18"/>
                <w:szCs w:val="18"/>
                <w:color w:val="auto"/>
              </w:rPr>
            </w:pPr>
          </w:p>
        </w:tc>
        <w:tc>
          <w:tcPr>
            <w:tcW w:w="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40" w:type="dxa"/>
            <w:vAlign w:val="bottom"/>
            <w:shd w:val="clear" w:color="auto" w:fill="EEEEEE"/>
          </w:tcPr>
          <w:p>
            <w:pPr>
              <w:spacing w:after="0"/>
              <w:rPr>
                <w:sz w:val="18"/>
                <w:szCs w:val="18"/>
                <w:color w:val="auto"/>
              </w:rPr>
            </w:pPr>
          </w:p>
        </w:tc>
        <w:tc>
          <w:tcPr>
            <w:tcW w:w="1160" w:type="dxa"/>
            <w:vAlign w:val="bottom"/>
            <w:tcBorders>
              <w:bottom w:val="single" w:sz="8" w:color="auto"/>
            </w:tcBorders>
            <w:shd w:val="clear" w:color="auto" w:fill="EEEEEE"/>
          </w:tcPr>
          <w:p>
            <w:pPr>
              <w:spacing w:after="0"/>
              <w:rPr>
                <w:sz w:val="18"/>
                <w:szCs w:val="18"/>
                <w:color w:val="auto"/>
              </w:rPr>
            </w:pPr>
          </w:p>
        </w:tc>
        <w:tc>
          <w:tcPr>
            <w:tcW w:w="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90"/>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EBITDA</w:t>
            </w:r>
            <w:r>
              <w:rPr>
                <w:rFonts w:ascii="Times New Roman" w:cs="Times New Roman" w:eastAsia="Times New Roman" w:hAnsi="Times New Roman"/>
                <w:sz w:val="14"/>
                <w:szCs w:val="14"/>
                <w:b w:val="1"/>
                <w:bCs w:val="1"/>
                <w:i w:val="1"/>
                <w:iCs w:val="1"/>
                <w:color w:val="auto"/>
              </w:rPr>
              <w:t>re</w:t>
            </w: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323.5</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343.5</w:t>
            </w:r>
          </w:p>
        </w:tc>
      </w:tr>
      <w:tr>
        <w:trPr>
          <w:trHeight w:val="209"/>
        </w:trPr>
        <w:tc>
          <w:tcPr>
            <w:tcW w:w="79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11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96"/>
        </w:trPr>
        <w:tc>
          <w:tcPr>
            <w:tcW w:w="794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All other items, net</w:t>
            </w: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Borders>
              <w:bottom w:val="single" w:sz="8" w:color="EEEEEE"/>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3"/>
        </w:trPr>
        <w:tc>
          <w:tcPr>
            <w:tcW w:w="79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14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346.5</w:t>
            </w:r>
          </w:p>
        </w:tc>
        <w:tc>
          <w:tcPr>
            <w:tcW w:w="1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366.5</w:t>
            </w:r>
          </w:p>
        </w:tc>
      </w:tr>
      <w:tr>
        <w:trPr>
          <w:trHeight w:val="196"/>
        </w:trPr>
        <w:tc>
          <w:tcPr>
            <w:tcW w:w="794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40" w:type="dxa"/>
            <w:vAlign w:val="bottom"/>
            <w:tcBorders>
              <w:bottom w:val="single" w:sz="8" w:color="EEEEEE"/>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202"/>
        </w:trPr>
        <w:tc>
          <w:tcPr>
            <w:tcW w:w="79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4"/>
                <w:szCs w:val="14"/>
                <w:b w:val="1"/>
                <w:bCs w:val="1"/>
                <w:color w:val="auto"/>
              </w:rPr>
              <w:t>Consolidated Hotel EBITDA</w:t>
            </w:r>
          </w:p>
        </w:tc>
        <w:tc>
          <w:tcPr>
            <w:tcW w:w="1140" w:type="dxa"/>
            <w:vAlign w:val="bottom"/>
            <w:tcBorders>
              <w:bottom w:val="single" w:sz="8" w:color="auto"/>
            </w:tcBorders>
            <w:shd w:val="clear" w:color="auto" w:fill="EEEEEE"/>
          </w:tcPr>
          <w:p>
            <w:pPr>
              <w:spacing w:after="0"/>
              <w:rPr>
                <w:sz w:val="17"/>
                <w:szCs w:val="17"/>
                <w:color w:val="auto"/>
              </w:rPr>
            </w:pPr>
          </w:p>
        </w:tc>
        <w:tc>
          <w:tcPr>
            <w:tcW w:w="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382.5</w:t>
            </w:r>
          </w:p>
        </w:tc>
        <w:tc>
          <w:tcPr>
            <w:tcW w:w="140" w:type="dxa"/>
            <w:vAlign w:val="bottom"/>
            <w:shd w:val="clear" w:color="auto" w:fill="EEEEEE"/>
          </w:tcPr>
          <w:p>
            <w:pPr>
              <w:spacing w:after="0"/>
              <w:rPr>
                <w:sz w:val="17"/>
                <w:szCs w:val="17"/>
                <w:color w:val="auto"/>
              </w:rPr>
            </w:pPr>
          </w:p>
        </w:tc>
        <w:tc>
          <w:tcPr>
            <w:tcW w:w="1160" w:type="dxa"/>
            <w:vAlign w:val="bottom"/>
            <w:tcBorders>
              <w:bottom w:val="single" w:sz="8" w:color="auto"/>
            </w:tcBorders>
            <w:shd w:val="clear" w:color="auto" w:fill="EEEEEE"/>
          </w:tcPr>
          <w:p>
            <w:pPr>
              <w:spacing w:after="0"/>
              <w:rPr>
                <w:sz w:val="17"/>
                <w:szCs w:val="17"/>
                <w:color w:val="auto"/>
              </w:rPr>
            </w:pPr>
          </w:p>
        </w:tc>
        <w:tc>
          <w:tcPr>
            <w:tcW w:w="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402.5</w:t>
            </w:r>
          </w:p>
        </w:tc>
      </w:tr>
      <w:tr>
        <w:trPr>
          <w:trHeight w:val="189"/>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Comparable adjustments - income from sold hotels</w:t>
            </w: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203"/>
        </w:trPr>
        <w:tc>
          <w:tcPr>
            <w:tcW w:w="79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Comparable adjustments - income from acquired hotels</w:t>
            </w:r>
          </w:p>
        </w:tc>
        <w:tc>
          <w:tcPr>
            <w:tcW w:w="1140" w:type="dxa"/>
            <w:vAlign w:val="bottom"/>
            <w:tcBorders>
              <w:bottom w:val="single" w:sz="8" w:color="auto"/>
            </w:tcBorders>
            <w:shd w:val="clear" w:color="auto" w:fill="EEEEEE"/>
          </w:tcPr>
          <w:p>
            <w:pPr>
              <w:spacing w:after="0"/>
              <w:rPr>
                <w:sz w:val="17"/>
                <w:szCs w:val="17"/>
                <w:color w:val="auto"/>
              </w:rPr>
            </w:pPr>
          </w:p>
        </w:tc>
        <w:tc>
          <w:tcPr>
            <w:tcW w:w="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EEEEEE"/>
          </w:tcPr>
          <w:p>
            <w:pPr>
              <w:spacing w:after="0"/>
              <w:rPr>
                <w:sz w:val="17"/>
                <w:szCs w:val="17"/>
                <w:color w:val="auto"/>
              </w:rPr>
            </w:pPr>
          </w:p>
        </w:tc>
        <w:tc>
          <w:tcPr>
            <w:tcW w:w="1160" w:type="dxa"/>
            <w:vAlign w:val="bottom"/>
            <w:tcBorders>
              <w:bottom w:val="single" w:sz="8" w:color="auto"/>
            </w:tcBorders>
            <w:shd w:val="clear" w:color="auto" w:fill="EEEEEE"/>
          </w:tcPr>
          <w:p>
            <w:pPr>
              <w:spacing w:after="0"/>
              <w:rPr>
                <w:sz w:val="17"/>
                <w:szCs w:val="17"/>
                <w:color w:val="auto"/>
              </w:rPr>
            </w:pPr>
          </w:p>
        </w:tc>
        <w:tc>
          <w:tcPr>
            <w:tcW w:w="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203"/>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Comparable Hotel EBITDA</w:t>
            </w:r>
          </w:p>
        </w:tc>
        <w:tc>
          <w:tcPr>
            <w:tcW w:w="114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382.5</w:t>
            </w: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402.5</w:t>
            </w:r>
          </w:p>
        </w:tc>
      </w:tr>
      <w:tr>
        <w:trPr>
          <w:trHeight w:val="20"/>
        </w:trPr>
        <w:tc>
          <w:tcPr>
            <w:tcW w:w="7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-2279650</wp:posOffset>
            </wp:positionV>
            <wp:extent cx="2091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 Attributable to Common Shareholders and Unitholders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shd w:val="clear" w:color="auto" w:fill="162835"/>
          </w:tcPr>
          <w:p>
            <w:pPr>
              <w:spacing w:after="0"/>
              <w:rPr>
                <w:sz w:val="17"/>
                <w:szCs w:val="17"/>
                <w:color w:val="auto"/>
              </w:rPr>
            </w:pPr>
          </w:p>
        </w:tc>
        <w:tc>
          <w:tcPr>
            <w:tcW w:w="2840" w:type="dxa"/>
            <w:vAlign w:val="bottom"/>
            <w:gridSpan w:val="4"/>
            <w:shd w:val="clear" w:color="auto" w:fill="162835"/>
          </w:tcPr>
          <w:p>
            <w:pPr>
              <w:jc w:val="right"/>
              <w:spacing w:after="0"/>
              <w:rPr>
                <w:sz w:val="20"/>
                <w:szCs w:val="20"/>
                <w:color w:val="auto"/>
              </w:rPr>
            </w:pPr>
            <w:r>
              <w:rPr>
                <w:rFonts w:ascii="Times New Roman" w:cs="Times New Roman" w:eastAsia="Times New Roman" w:hAnsi="Times New Roman"/>
                <w:sz w:val="14"/>
                <w:szCs w:val="14"/>
                <w:b w:val="1"/>
                <w:bCs w:val="1"/>
                <w:color w:val="FFFFFF"/>
              </w:rPr>
              <w:t>For the year ended December 31, 2024</w:t>
            </w:r>
          </w:p>
        </w:tc>
        <w:tc>
          <w:tcPr>
            <w:tcW w:w="420" w:type="dxa"/>
            <w:vAlign w:val="bottom"/>
            <w:shd w:val="clear" w:color="auto" w:fill="162835"/>
          </w:tcPr>
          <w:p>
            <w:pPr>
              <w:spacing w:after="0"/>
              <w:rPr>
                <w:sz w:val="17"/>
                <w:szCs w:val="17"/>
                <w:color w:val="auto"/>
              </w:rPr>
            </w:pPr>
          </w:p>
        </w:tc>
      </w:tr>
      <w:tr>
        <w:trPr>
          <w:trHeight w:val="196"/>
        </w:trPr>
        <w:tc>
          <w:tcPr>
            <w:tcW w:w="7980" w:type="dxa"/>
            <w:vAlign w:val="bottom"/>
            <w:tcBorders>
              <w:bottom w:val="single" w:sz="8" w:color="162835"/>
            </w:tcBorders>
            <w:shd w:val="clear" w:color="auto" w:fill="162835"/>
          </w:tcPr>
          <w:p>
            <w:pPr>
              <w:spacing w:after="0"/>
              <w:rPr>
                <w:sz w:val="17"/>
                <w:szCs w:val="17"/>
                <w:color w:val="auto"/>
              </w:rPr>
            </w:pPr>
          </w:p>
        </w:tc>
        <w:tc>
          <w:tcPr>
            <w:tcW w:w="1140" w:type="dxa"/>
            <w:vAlign w:val="bottom"/>
            <w:tcBorders>
              <w:bottom w:val="single" w:sz="8" w:color="162835"/>
            </w:tcBorders>
            <w:shd w:val="clear" w:color="auto" w:fill="162835"/>
          </w:tcPr>
          <w:p>
            <w:pPr>
              <w:jc w:val="right"/>
              <w:spacing w:after="0"/>
              <w:rPr>
                <w:sz w:val="20"/>
                <w:szCs w:val="20"/>
                <w:color w:val="auto"/>
              </w:rPr>
            </w:pPr>
            <w:r>
              <w:rPr>
                <w:rFonts w:ascii="Times New Roman" w:cs="Times New Roman" w:eastAsia="Times New Roman" w:hAnsi="Times New Roman"/>
                <w:sz w:val="14"/>
                <w:szCs w:val="14"/>
                <w:b w:val="1"/>
                <w:bCs w:val="1"/>
                <w:color w:val="FFFFFF"/>
              </w:rPr>
              <w:t>Low End</w:t>
            </w:r>
          </w:p>
        </w:tc>
        <w:tc>
          <w:tcPr>
            <w:tcW w:w="440" w:type="dxa"/>
            <w:vAlign w:val="bottom"/>
            <w:tcBorders>
              <w:bottom w:val="single" w:sz="8" w:color="162835"/>
            </w:tcBorders>
            <w:shd w:val="clear" w:color="auto" w:fill="162835"/>
          </w:tcPr>
          <w:p>
            <w:pPr>
              <w:spacing w:after="0"/>
              <w:rPr>
                <w:sz w:val="17"/>
                <w:szCs w:val="17"/>
                <w:color w:val="auto"/>
              </w:rPr>
            </w:pPr>
          </w:p>
        </w:tc>
        <w:tc>
          <w:tcPr>
            <w:tcW w:w="100" w:type="dxa"/>
            <w:vAlign w:val="bottom"/>
            <w:tcBorders>
              <w:bottom w:val="single" w:sz="8" w:color="162835"/>
            </w:tcBorders>
            <w:shd w:val="clear" w:color="auto" w:fill="162835"/>
          </w:tcPr>
          <w:p>
            <w:pPr>
              <w:spacing w:after="0"/>
              <w:rPr>
                <w:sz w:val="17"/>
                <w:szCs w:val="17"/>
                <w:color w:val="auto"/>
              </w:rPr>
            </w:pPr>
          </w:p>
        </w:tc>
        <w:tc>
          <w:tcPr>
            <w:tcW w:w="1160" w:type="dxa"/>
            <w:vAlign w:val="bottom"/>
            <w:tcBorders>
              <w:bottom w:val="single" w:sz="8" w:color="162835"/>
            </w:tcBorders>
            <w:shd w:val="clear" w:color="auto" w:fill="162835"/>
          </w:tcPr>
          <w:p>
            <w:pPr>
              <w:jc w:val="right"/>
              <w:ind w:right="8"/>
              <w:spacing w:after="0"/>
              <w:rPr>
                <w:sz w:val="20"/>
                <w:szCs w:val="20"/>
                <w:color w:val="auto"/>
              </w:rPr>
            </w:pPr>
            <w:r>
              <w:rPr>
                <w:rFonts w:ascii="Times New Roman" w:cs="Times New Roman" w:eastAsia="Times New Roman" w:hAnsi="Times New Roman"/>
                <w:sz w:val="14"/>
                <w:szCs w:val="14"/>
                <w:b w:val="1"/>
                <w:bCs w:val="1"/>
                <w:color w:val="FFFFFF"/>
              </w:rPr>
              <w:t>High End</w:t>
            </w:r>
          </w:p>
        </w:tc>
        <w:tc>
          <w:tcPr>
            <w:tcW w:w="420" w:type="dxa"/>
            <w:vAlign w:val="bottom"/>
            <w:tcBorders>
              <w:bottom w:val="single" w:sz="8" w:color="162835"/>
            </w:tcBorders>
            <w:shd w:val="clear" w:color="auto" w:fill="162835"/>
          </w:tcPr>
          <w:p>
            <w:pPr>
              <w:spacing w:after="0"/>
              <w:rPr>
                <w:sz w:val="17"/>
                <w:szCs w:val="17"/>
                <w:color w:val="auto"/>
              </w:rPr>
            </w:pPr>
          </w:p>
        </w:tc>
      </w:tr>
      <w:tr>
        <w:trPr>
          <w:trHeight w:val="203"/>
        </w:trPr>
        <w:tc>
          <w:tcPr>
            <w:tcW w:w="79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shd w:val="clear" w:color="auto" w:fill="EEEEEE"/>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68.0</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dividends</w:t>
            </w: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10"/>
        </w:trPr>
        <w:tc>
          <w:tcPr>
            <w:tcW w:w="79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187.0</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hotel properties, net</w:t>
            </w: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10"/>
        </w:trPr>
        <w:tc>
          <w:tcPr>
            <w:tcW w:w="79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Adjustments related to joint ventures</w:t>
            </w:r>
          </w:p>
        </w:tc>
        <w:tc>
          <w:tcPr>
            <w:tcW w:w="1140" w:type="dxa"/>
            <w:vAlign w:val="bottom"/>
            <w:tcBorders>
              <w:bottom w:val="single" w:sz="8" w:color="auto"/>
            </w:tcBorders>
            <w:shd w:val="clear" w:color="auto" w:fill="EEEEEE"/>
          </w:tcPr>
          <w:p>
            <w:pPr>
              <w:spacing w:after="0"/>
              <w:rPr>
                <w:sz w:val="18"/>
                <w:szCs w:val="18"/>
                <w:color w:val="auto"/>
              </w:rPr>
            </w:pPr>
          </w:p>
        </w:tc>
        <w:tc>
          <w:tcPr>
            <w:tcW w:w="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EEEEEE"/>
          </w:tcPr>
          <w:p>
            <w:pPr>
              <w:spacing w:after="0"/>
              <w:rPr>
                <w:sz w:val="18"/>
                <w:szCs w:val="18"/>
                <w:color w:val="auto"/>
              </w:rPr>
            </w:pPr>
          </w:p>
        </w:tc>
        <w:tc>
          <w:tcPr>
            <w:tcW w:w="1160" w:type="dxa"/>
            <w:vAlign w:val="bottom"/>
            <w:tcBorders>
              <w:bottom w:val="single" w:sz="8" w:color="auto"/>
            </w:tcBorders>
            <w:shd w:val="clear" w:color="auto" w:fill="EEEEEE"/>
          </w:tcPr>
          <w:p>
            <w:pPr>
              <w:spacing w:after="0"/>
              <w:rPr>
                <w:sz w:val="18"/>
                <w:szCs w:val="18"/>
                <w:color w:val="auto"/>
              </w:rPr>
            </w:pPr>
          </w:p>
        </w:tc>
        <w:tc>
          <w:tcPr>
            <w:tcW w:w="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0"/>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FFO</w:t>
            </w: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204.5</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222.5</w:t>
            </w:r>
          </w:p>
        </w:tc>
      </w:tr>
      <w:tr>
        <w:trPr>
          <w:trHeight w:val="209"/>
        </w:trPr>
        <w:tc>
          <w:tcPr>
            <w:tcW w:w="79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11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96"/>
        </w:trPr>
        <w:tc>
          <w:tcPr>
            <w:tcW w:w="7980" w:type="dxa"/>
            <w:vAlign w:val="bottom"/>
            <w:tcBorders>
              <w:bottom w:val="single" w:sz="8" w:color="EEEEEE"/>
            </w:tcBorders>
          </w:tcPr>
          <w:p>
            <w:pPr>
              <w:ind w:left="20"/>
              <w:spacing w:after="0"/>
              <w:rPr>
                <w:sz w:val="20"/>
                <w:szCs w:val="20"/>
                <w:color w:val="auto"/>
              </w:rPr>
            </w:pPr>
            <w:r>
              <w:rPr>
                <w:rFonts w:ascii="Times New Roman" w:cs="Times New Roman" w:eastAsia="Times New Roman" w:hAnsi="Times New Roman"/>
                <w:sz w:val="14"/>
                <w:szCs w:val="14"/>
                <w:color w:val="auto"/>
              </w:rPr>
              <w:t>All other items, net</w:t>
            </w: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EEEEEE"/>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27"/>
        </w:trPr>
        <w:tc>
          <w:tcPr>
            <w:tcW w:w="7980" w:type="dxa"/>
            <w:vAlign w:val="bottom"/>
            <w:tcBorders>
              <w:bottom w:val="single" w:sz="8" w:color="EEEEEE"/>
            </w:tcBorders>
            <w:shd w:val="clear" w:color="auto" w:fill="EEEEEE"/>
          </w:tcPr>
          <w:p>
            <w:pPr>
              <w:ind w:left="140"/>
              <w:spacing w:after="0"/>
              <w:rPr>
                <w:sz w:val="20"/>
                <w:szCs w:val="20"/>
                <w:color w:val="auto"/>
              </w:rPr>
            </w:pPr>
            <w:r>
              <w:rPr>
                <w:rFonts w:ascii="Times New Roman" w:cs="Times New Roman" w:eastAsia="Times New Roman" w:hAnsi="Times New Roman"/>
                <w:sz w:val="14"/>
                <w:szCs w:val="14"/>
                <w:b w:val="1"/>
                <w:bCs w:val="1"/>
                <w:color w:val="auto"/>
              </w:rPr>
              <w:t>Adjusted FFO</w:t>
            </w:r>
          </w:p>
        </w:tc>
        <w:tc>
          <w:tcPr>
            <w:tcW w:w="1140" w:type="dxa"/>
            <w:vAlign w:val="bottom"/>
            <w:tcBorders>
              <w:bottom w:val="single" w:sz="8" w:color="auto"/>
            </w:tcBorders>
            <w:shd w:val="clear" w:color="auto" w:fill="EEEEEE"/>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224.5</w:t>
            </w:r>
          </w:p>
        </w:tc>
        <w:tc>
          <w:tcPr>
            <w:tcW w:w="10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244.5</w:t>
            </w:r>
          </w:p>
        </w:tc>
      </w:tr>
      <w:tr>
        <w:trPr>
          <w:trHeight w:val="20"/>
        </w:trPr>
        <w:tc>
          <w:tcPr>
            <w:tcW w:w="79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bottom w:val="single" w:sz="8" w:color="auto"/>
            </w:tcBorders>
          </w:tcPr>
          <w:p>
            <w:pPr>
              <w:spacing w:after="0" w:line="20" w:lineRule="exact"/>
              <w:rPr>
                <w:sz w:val="1"/>
                <w:szCs w:val="1"/>
                <w:color w:val="auto"/>
              </w:rPr>
            </w:pPr>
          </w:p>
        </w:tc>
        <w:tc>
          <w:tcPr>
            <w:tcW w:w="440" w:type="dxa"/>
            <w:vAlign w:val="bottom"/>
            <w:tcBorders>
              <w:top w:val="single" w:sz="8" w:color="EEEEEE"/>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bottom w:val="single" w:sz="8" w:color="auto"/>
            </w:tcBorders>
          </w:tcPr>
          <w:p>
            <w:pPr>
              <w:spacing w:after="0" w:line="20" w:lineRule="exact"/>
              <w:rPr>
                <w:sz w:val="1"/>
                <w:szCs w:val="1"/>
                <w:color w:val="auto"/>
              </w:rPr>
            </w:pPr>
          </w:p>
        </w:tc>
        <w:tc>
          <w:tcPr>
            <w:tcW w:w="420" w:type="dxa"/>
            <w:vAlign w:val="bottom"/>
            <w:tcBorders>
              <w:top w:val="single" w:sz="8" w:color="EEEEEE"/>
              <w:bottom w:val="single" w:sz="8" w:color="auto"/>
            </w:tcBorders>
          </w:tcPr>
          <w:p>
            <w:pPr>
              <w:spacing w:after="0" w:line="20" w:lineRule="exact"/>
              <w:rPr>
                <w:sz w:val="1"/>
                <w:szCs w:val="1"/>
                <w:color w:val="auto"/>
              </w:rPr>
            </w:pPr>
          </w:p>
        </w:tc>
      </w:tr>
      <w:tr>
        <w:trPr>
          <w:trHeight w:val="163"/>
        </w:trPr>
        <w:tc>
          <w:tcPr>
            <w:tcW w:w="7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03"/>
        </w:trPr>
        <w:tc>
          <w:tcPr>
            <w:tcW w:w="79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FFO per common share and unit-diluted</w:t>
            </w:r>
          </w:p>
        </w:tc>
        <w:tc>
          <w:tcPr>
            <w:tcW w:w="1140" w:type="dxa"/>
            <w:vAlign w:val="bottom"/>
            <w:shd w:val="clear" w:color="auto" w:fill="EEEEEE"/>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1.58</w:t>
            </w:r>
          </w:p>
        </w:tc>
      </w:tr>
      <w:tr>
        <w:trPr>
          <w:trHeight w:val="216"/>
        </w:trPr>
        <w:tc>
          <w:tcPr>
            <w:tcW w:w="7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79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Diluted weighted-average common shares and units outstanding</w:t>
            </w:r>
          </w:p>
        </w:tc>
        <w:tc>
          <w:tcPr>
            <w:tcW w:w="1140" w:type="dxa"/>
            <w:vAlign w:val="bottom"/>
            <w:shd w:val="clear" w:color="auto" w:fill="EEEEEE"/>
          </w:tcPr>
          <w:p>
            <w:pPr>
              <w:spacing w:after="0"/>
              <w:rPr>
                <w:sz w:val="17"/>
                <w:szCs w:val="17"/>
                <w:color w:val="auto"/>
              </w:rPr>
            </w:pP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154.5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-1859280</wp:posOffset>
            </wp:positionV>
            <wp:extent cx="20656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5712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RLJ Lodging Trust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Debt Summary</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interest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2"/>
            <w:vMerge w:val="restart"/>
            <w:shd w:val="clear" w:color="auto" w:fill="162835"/>
          </w:tcPr>
          <w:p>
            <w:pPr>
              <w:ind w:left="20"/>
              <w:spacing w:after="0"/>
              <w:rPr>
                <w:sz w:val="20"/>
                <w:szCs w:val="20"/>
                <w:color w:val="auto"/>
              </w:rPr>
            </w:pPr>
            <w:r>
              <w:rPr>
                <w:rFonts w:ascii="Times New Roman" w:cs="Times New Roman" w:eastAsia="Times New Roman" w:hAnsi="Times New Roman"/>
                <w:sz w:val="14"/>
                <w:szCs w:val="14"/>
                <w:b w:val="1"/>
                <w:bCs w:val="1"/>
                <w:color w:val="FFFFFF"/>
              </w:rPr>
              <w:t>Loan</w:t>
            </w:r>
          </w:p>
        </w:tc>
        <w:tc>
          <w:tcPr>
            <w:tcW w:w="1100" w:type="dxa"/>
            <w:vAlign w:val="bottom"/>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rPr>
              <w:t>Base Term</w:t>
            </w:r>
          </w:p>
        </w:tc>
        <w:tc>
          <w:tcPr>
            <w:tcW w:w="1460" w:type="dxa"/>
            <w:vAlign w:val="bottom"/>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rPr>
              <w:t>Maturity</w:t>
            </w:r>
          </w:p>
        </w:tc>
        <w:tc>
          <w:tcPr>
            <w:tcW w:w="1620" w:type="dxa"/>
            <w:vAlign w:val="bottom"/>
            <w:vMerge w:val="restart"/>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rPr>
              <w:t>Floating / Fixed (1)</w:t>
            </w:r>
          </w:p>
        </w:tc>
        <w:tc>
          <w:tcPr>
            <w:tcW w:w="1520" w:type="dxa"/>
            <w:vAlign w:val="bottom"/>
            <w:gridSpan w:val="2"/>
            <w:vMerge w:val="restart"/>
            <w:shd w:val="clear" w:color="auto" w:fill="162835"/>
          </w:tcPr>
          <w:p>
            <w:pPr>
              <w:ind w:left="200"/>
              <w:spacing w:after="0"/>
              <w:rPr>
                <w:sz w:val="20"/>
                <w:szCs w:val="20"/>
                <w:color w:val="auto"/>
              </w:rPr>
            </w:pPr>
            <w:r>
              <w:rPr>
                <w:rFonts w:ascii="Times New Roman" w:cs="Times New Roman" w:eastAsia="Times New Roman" w:hAnsi="Times New Roman"/>
                <w:sz w:val="14"/>
                <w:szCs w:val="14"/>
                <w:b w:val="1"/>
                <w:bCs w:val="1"/>
                <w:color w:val="FFFFFF"/>
              </w:rPr>
              <w:t>Interest Rate (2)</w:t>
            </w:r>
          </w:p>
        </w:tc>
        <w:tc>
          <w:tcPr>
            <w:tcW w:w="160" w:type="dxa"/>
            <w:vAlign w:val="bottom"/>
            <w:shd w:val="clear" w:color="auto" w:fill="162835"/>
          </w:tcPr>
          <w:p>
            <w:pPr>
              <w:spacing w:after="0"/>
              <w:rPr>
                <w:sz w:val="13"/>
                <w:szCs w:val="13"/>
                <w:color w:val="auto"/>
              </w:rPr>
            </w:pPr>
          </w:p>
        </w:tc>
        <w:tc>
          <w:tcPr>
            <w:tcW w:w="1700" w:type="dxa"/>
            <w:vAlign w:val="bottom"/>
            <w:shd w:val="clear" w:color="auto" w:fill="162835"/>
          </w:tcPr>
          <w:p>
            <w:pPr>
              <w:jc w:val="right"/>
              <w:ind w:right="468"/>
              <w:spacing w:after="0"/>
              <w:rPr>
                <w:sz w:val="20"/>
                <w:szCs w:val="20"/>
                <w:color w:val="auto"/>
              </w:rPr>
            </w:pPr>
            <w:r>
              <w:rPr>
                <w:rFonts w:ascii="Times New Roman" w:cs="Times New Roman" w:eastAsia="Times New Roman" w:hAnsi="Times New Roman"/>
                <w:sz w:val="14"/>
                <w:szCs w:val="14"/>
                <w:b w:val="1"/>
                <w:bCs w:val="1"/>
                <w:color w:val="FFFFFF"/>
              </w:rPr>
              <w:t>Balance as of</w:t>
            </w:r>
          </w:p>
        </w:tc>
        <w:tc>
          <w:tcPr>
            <w:tcW w:w="0" w:type="dxa"/>
            <w:vAlign w:val="bottom"/>
          </w:tcPr>
          <w:p>
            <w:pPr>
              <w:spacing w:after="0"/>
              <w:rPr>
                <w:sz w:val="1"/>
                <w:szCs w:val="1"/>
                <w:color w:val="auto"/>
              </w:rPr>
            </w:pPr>
          </w:p>
        </w:tc>
      </w:tr>
      <w:tr>
        <w:trPr>
          <w:trHeight w:val="200"/>
        </w:trPr>
        <w:tc>
          <w:tcPr>
            <w:tcW w:w="3680" w:type="dxa"/>
            <w:vAlign w:val="bottom"/>
            <w:gridSpan w:val="2"/>
            <w:vMerge w:val="continue"/>
            <w:shd w:val="clear" w:color="auto" w:fill="162835"/>
          </w:tcPr>
          <w:p>
            <w:pPr>
              <w:spacing w:after="0"/>
              <w:rPr>
                <w:sz w:val="17"/>
                <w:szCs w:val="17"/>
                <w:color w:val="auto"/>
              </w:rPr>
            </w:pPr>
          </w:p>
        </w:tc>
        <w:tc>
          <w:tcPr>
            <w:tcW w:w="1100" w:type="dxa"/>
            <w:vAlign w:val="bottom"/>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(Years)</w:t>
            </w:r>
          </w:p>
        </w:tc>
        <w:tc>
          <w:tcPr>
            <w:tcW w:w="1460" w:type="dxa"/>
            <w:vAlign w:val="bottom"/>
            <w:shd w:val="clear" w:color="auto" w:fill="162835"/>
          </w:tcPr>
          <w:p>
            <w:pPr>
              <w:jc w:val="center"/>
              <w:spacing w:after="0"/>
              <w:rPr>
                <w:sz w:val="20"/>
                <w:szCs w:val="20"/>
                <w:color w:val="auto"/>
              </w:rPr>
            </w:pPr>
            <w:r>
              <w:rPr>
                <w:rFonts w:ascii="Times New Roman" w:cs="Times New Roman" w:eastAsia="Times New Roman" w:hAnsi="Times New Roman"/>
                <w:sz w:val="14"/>
                <w:szCs w:val="14"/>
                <w:b w:val="1"/>
                <w:bCs w:val="1"/>
                <w:color w:val="FFFFFF"/>
              </w:rPr>
              <w:t>(incl. extensions)</w:t>
            </w:r>
          </w:p>
        </w:tc>
        <w:tc>
          <w:tcPr>
            <w:tcW w:w="1620" w:type="dxa"/>
            <w:vAlign w:val="bottom"/>
            <w:vMerge w:val="continue"/>
            <w:shd w:val="clear" w:color="auto" w:fill="162835"/>
          </w:tcPr>
          <w:p>
            <w:pPr>
              <w:spacing w:after="0"/>
              <w:rPr>
                <w:sz w:val="17"/>
                <w:szCs w:val="17"/>
                <w:color w:val="auto"/>
              </w:rPr>
            </w:pPr>
          </w:p>
        </w:tc>
        <w:tc>
          <w:tcPr>
            <w:tcW w:w="1520" w:type="dxa"/>
            <w:vAlign w:val="bottom"/>
            <w:gridSpan w:val="2"/>
            <w:vMerge w:val="continue"/>
            <w:shd w:val="clear" w:color="auto" w:fill="162835"/>
          </w:tcPr>
          <w:p>
            <w:pPr>
              <w:spacing w:after="0"/>
              <w:rPr>
                <w:sz w:val="17"/>
                <w:szCs w:val="17"/>
                <w:color w:val="auto"/>
              </w:rPr>
            </w:pPr>
          </w:p>
        </w:tc>
        <w:tc>
          <w:tcPr>
            <w:tcW w:w="160" w:type="dxa"/>
            <w:vAlign w:val="bottom"/>
            <w:shd w:val="clear" w:color="auto" w:fill="162835"/>
          </w:tcPr>
          <w:p>
            <w:pPr>
              <w:spacing w:after="0"/>
              <w:rPr>
                <w:sz w:val="17"/>
                <w:szCs w:val="17"/>
                <w:color w:val="auto"/>
              </w:rPr>
            </w:pPr>
          </w:p>
        </w:tc>
        <w:tc>
          <w:tcPr>
            <w:tcW w:w="1700" w:type="dxa"/>
            <w:vAlign w:val="bottom"/>
            <w:shd w:val="clear" w:color="auto" w:fill="162835"/>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September 30, 2024 (3)</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Mortgage Debt</w:t>
            </w:r>
          </w:p>
        </w:tc>
        <w:tc>
          <w:tcPr>
            <w:tcW w:w="110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62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Mortgage loan - 1 hotel</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 2029</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10"/>
        </w:trPr>
        <w:tc>
          <w:tcPr>
            <w:tcW w:w="368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Mortgage loan - 3 hotels</w:t>
            </w:r>
          </w:p>
        </w:tc>
        <w:tc>
          <w:tcPr>
            <w:tcW w:w="11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Apr 2026</w:t>
            </w:r>
          </w:p>
        </w:tc>
        <w:tc>
          <w:tcPr>
            <w:tcW w:w="1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1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96,000</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EEEEEE"/>
            </w:tcBorders>
            <w:gridSpan w:val="2"/>
          </w:tcPr>
          <w:p>
            <w:pPr>
              <w:ind w:left="20"/>
              <w:spacing w:after="0"/>
              <w:rPr>
                <w:sz w:val="20"/>
                <w:szCs w:val="20"/>
                <w:color w:val="auto"/>
              </w:rPr>
            </w:pPr>
            <w:r>
              <w:rPr>
                <w:rFonts w:ascii="Times New Roman" w:cs="Times New Roman" w:eastAsia="Times New Roman" w:hAnsi="Times New Roman"/>
                <w:sz w:val="14"/>
                <w:szCs w:val="14"/>
                <w:color w:val="auto"/>
              </w:rPr>
              <w:t>Mortgage loan - 4 hotels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Apr 2026</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 Mortgage Total</w:t>
            </w:r>
          </w:p>
        </w:tc>
        <w:tc>
          <w:tcPr>
            <w:tcW w:w="110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620" w:type="dxa"/>
            <w:vAlign w:val="bottom"/>
            <w:shd w:val="clear" w:color="auto" w:fill="EEEEEE"/>
          </w:tcPr>
          <w:p>
            <w:pPr>
              <w:spacing w:after="0"/>
              <w:rPr>
                <w:sz w:val="17"/>
                <w:szCs w:val="17"/>
                <w:color w:val="auto"/>
              </w:rPr>
            </w:pPr>
          </w:p>
        </w:tc>
        <w:tc>
          <w:tcPr>
            <w:tcW w:w="1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b w:val="1"/>
                <w:bCs w:val="1"/>
                <w:color w:val="auto"/>
              </w:rPr>
              <w:t>5.02%</w:t>
            </w: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b w:val="1"/>
                <w:bCs w:val="1"/>
                <w:color w:val="auto"/>
              </w:rPr>
              <w:t>206,000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Corporate Debt</w:t>
            </w:r>
          </w:p>
        </w:tc>
        <w:tc>
          <w:tcPr>
            <w:tcW w:w="110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62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Revolver (4)</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2028</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10"/>
        </w:trPr>
        <w:tc>
          <w:tcPr>
            <w:tcW w:w="368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$225 Million Term Loan Maturing 2026</w:t>
            </w:r>
          </w:p>
        </w:tc>
        <w:tc>
          <w:tcPr>
            <w:tcW w:w="11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May 2028</w:t>
            </w:r>
          </w:p>
        </w:tc>
        <w:tc>
          <w:tcPr>
            <w:tcW w:w="1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1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0" w:type="dxa"/>
            <w:vAlign w:val="bottom"/>
          </w:tcPr>
          <w:p>
            <w:pPr>
              <w:spacing w:after="0"/>
              <w:rPr>
                <w:sz w:val="1"/>
                <w:szCs w:val="1"/>
                <w:color w:val="auto"/>
              </w:rPr>
            </w:pPr>
          </w:p>
        </w:tc>
      </w:tr>
      <w:tr>
        <w:trPr>
          <w:trHeight w:val="195"/>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w:t>
            </w:r>
          </w:p>
        </w:tc>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Million Term Loan Maturing 2026</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2028</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210"/>
        </w:trPr>
        <w:tc>
          <w:tcPr>
            <w:tcW w:w="3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$500</w:t>
            </w: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Million Term Loan Maturing 2027</w:t>
            </w:r>
          </w:p>
        </w:tc>
        <w:tc>
          <w:tcPr>
            <w:tcW w:w="11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September 2029</w:t>
            </w:r>
          </w:p>
        </w:tc>
        <w:tc>
          <w:tcPr>
            <w:tcW w:w="1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Floating</w:t>
            </w:r>
          </w:p>
        </w:tc>
        <w:tc>
          <w:tcPr>
            <w:tcW w:w="1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5"/>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w:t>
            </w:r>
          </w:p>
        </w:tc>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Million Senior Notes due 2026</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2026</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210"/>
        </w:trPr>
        <w:tc>
          <w:tcPr>
            <w:tcW w:w="3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4"/>
                <w:szCs w:val="14"/>
                <w:color w:val="auto"/>
              </w:rPr>
              <w:t>$500</w:t>
            </w: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Million Senior Notes due 2029</w:t>
            </w:r>
          </w:p>
        </w:tc>
        <w:tc>
          <w:tcPr>
            <w:tcW w:w="1100" w:type="dxa"/>
            <w:vAlign w:val="bottom"/>
            <w:tcBorders>
              <w:bottom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1460" w:type="dxa"/>
            <w:vAlign w:val="bottom"/>
            <w:tcBorders>
              <w:bottom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September 2029</w:t>
            </w:r>
          </w:p>
        </w:tc>
        <w:tc>
          <w:tcPr>
            <w:tcW w:w="1620" w:type="dxa"/>
            <w:vAlign w:val="bottom"/>
            <w:tcBorders>
              <w:bottom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Fixed</w:t>
            </w:r>
          </w:p>
        </w:tc>
        <w:tc>
          <w:tcPr>
            <w:tcW w:w="1420" w:type="dxa"/>
            <w:vAlign w:val="bottom"/>
            <w:tcBorders>
              <w:bottom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auto"/>
            </w:tcBorders>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spacing w:after="0"/>
              <w:rPr>
                <w:sz w:val="18"/>
                <w:szCs w:val="18"/>
                <w:color w:val="auto"/>
              </w:rPr>
            </w:pPr>
          </w:p>
        </w:tc>
        <w:tc>
          <w:tcPr>
            <w:tcW w:w="17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0"/>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 Corporate Total</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4.51%</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2,025,000</w:t>
            </w:r>
          </w:p>
        </w:tc>
        <w:tc>
          <w:tcPr>
            <w:tcW w:w="0" w:type="dxa"/>
            <w:vAlign w:val="bottom"/>
          </w:tcPr>
          <w:p>
            <w:pPr>
              <w:spacing w:after="0"/>
              <w:rPr>
                <w:sz w:val="1"/>
                <w:szCs w:val="1"/>
                <w:color w:val="auto"/>
              </w:rPr>
            </w:pPr>
          </w:p>
        </w:tc>
      </w:tr>
      <w:tr>
        <w:trPr>
          <w:trHeight w:val="222"/>
        </w:trPr>
        <w:tc>
          <w:tcPr>
            <w:tcW w:w="3680" w:type="dxa"/>
            <w:vAlign w:val="bottom"/>
            <w:gridSpan w:val="2"/>
            <w:shd w:val="clear" w:color="auto" w:fill="EEEEEE"/>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1460" w:type="dxa"/>
            <w:vAlign w:val="bottom"/>
            <w:shd w:val="clear" w:color="auto" w:fill="EEEEEE"/>
          </w:tcPr>
          <w:p>
            <w:pPr>
              <w:spacing w:after="0"/>
              <w:rPr>
                <w:sz w:val="19"/>
                <w:szCs w:val="19"/>
                <w:color w:val="auto"/>
              </w:rPr>
            </w:pPr>
          </w:p>
        </w:tc>
        <w:tc>
          <w:tcPr>
            <w:tcW w:w="1620" w:type="dxa"/>
            <w:vAlign w:val="bottom"/>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700" w:type="dxa"/>
            <w:vAlign w:val="bottom"/>
            <w:tcBorders>
              <w:bottom w:val="single" w:sz="8" w:color="auto"/>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 Total</w:t>
            </w:r>
          </w:p>
        </w:tc>
        <w:tc>
          <w:tcPr>
            <w:tcW w:w="1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4.56%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2,231,000</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368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820" w:hanging="488"/>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floating interest rate is hedged, or partially hedged, with an interest rate swap.</w:t>
      </w:r>
    </w:p>
    <w:p>
      <w:pPr>
        <w:spacing w:after="0" w:line="11"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as of September 30, 2024, inclusive of the impact of interest rate hedges.</w:t>
      </w:r>
    </w:p>
    <w:p>
      <w:pPr>
        <w:spacing w:after="0" w:line="14"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fair value adjustments and deferred financing costs.</w:t>
      </w:r>
    </w:p>
    <w:p>
      <w:pPr>
        <w:spacing w:after="0" w:line="28" w:lineRule="exact"/>
        <w:rPr>
          <w:rFonts w:ascii="Times New Roman" w:cs="Times New Roman" w:eastAsia="Times New Roman" w:hAnsi="Times New Roman"/>
          <w:sz w:val="14"/>
          <w:szCs w:val="14"/>
          <w:color w:val="auto"/>
        </w:rPr>
      </w:pPr>
    </w:p>
    <w:p>
      <w:pPr>
        <w:ind w:left="820" w:hanging="488"/>
        <w:spacing w:after="0"/>
        <w:tabs>
          <w:tab w:leader="none" w:pos="8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As of September 30, 2024, there was $500.0 million of borrowing capacity on the Revolver, which is charged an unused commitment fee of 0.25% annually.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2024-11-06T16:17:37Z</dcterms:created>
  <dcterms:modified xsi:type="dcterms:W3CDTF">2024-11-06T16:17:37Z</dcterms:modified>
</cp:coreProperties>
</file>