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Bayh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RLJ LODGING TRUST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WISCONSIN AVE,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RLJ Lodging Trust</w:t>
              </w:r>
            </w:hyperlink>
            <w:r>
              <w:rPr/>
              <w:t xml:space="preserve"> [ </w:t>
            </w:r>
            <w:r>
              <w:rPr>
                <w:rFonts w:ascii="Times;serif" w:hAnsi="Times;serif"/>
                <w:color w:val="0000FF"/>
                <w:sz w:val="24"/>
                <w:shd w:fill="FFFFFF" w:val="clear"/>
              </w:rPr>
              <w:t>RLJ</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16,149</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8.78</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132,109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common shares, vesting on the earlier of (i) the first anniversary of the grant date and (ii) the date of the Company's 2027 annual meeting of shareholders, were granted to the reporting person pursuant to the RLJ Lodging Trust 2026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D. Hale,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0135" TargetMode="External"/><Relationship Id="rId5" Type="http://schemas.openxmlformats.org/officeDocument/2006/relationships/hyperlink" Target="http://www.sec.gov/cgi-bin/browse-edgar?action=getcompany&amp;CIK=00015113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3279</Characters>
  <CharactersWithSpaces>3828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