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05, 2025</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RLJ LODGING TRUST</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983" w:right="499" w:bottom="1440" w:gutter="0" w:footer="0" w:header="0"/>
        </w:sectPr>
      </w:pPr>
    </w:p>
    <w:p>
      <w:pPr>
        <w:spacing w:after="0" w:line="3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001-35169</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27-4706509</w:t>
      </w:r>
    </w:p>
    <w:p>
      <w:pPr>
        <w:spacing w:after="0" w:line="31" w:lineRule="exact"/>
        <w:rPr>
          <w:sz w:val="24"/>
          <w:szCs w:val="24"/>
          <w:color w:val="auto"/>
        </w:rPr>
      </w:pPr>
    </w:p>
    <w:p>
      <w:pPr>
        <w:sectPr>
          <w:pgSz w:w="11900" w:h="16838" w:orient="portrait"/>
          <w:cols w:equalWidth="0" w:num="3">
            <w:col w:w="4460" w:space="720"/>
            <w:col w:w="3020" w:space="720"/>
            <w:col w:w="2160"/>
          </w:cols>
          <w:pgMar w:left="320" w:top="983" w:right="49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860" w:space="720"/>
            <w:col w:w="2660" w:space="720"/>
            <w:col w:w="3120"/>
          </w:cols>
          <w:pgMar w:left="320" w:top="983" w:right="499" w:bottom="1440" w:gutter="0" w:footer="0" w:header="0"/>
          <w:type w:val="continuous"/>
        </w:sectPr>
      </w:pPr>
    </w:p>
    <w:p>
      <w:pPr>
        <w:spacing w:after="0" w:line="24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7373 Wisconsin Avenue, Suite 1500</w:t>
      </w:r>
    </w:p>
    <w:p>
      <w:pPr>
        <w:spacing w:after="0" w:line="4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20814</w:t>
      </w:r>
    </w:p>
    <w:p>
      <w:pPr>
        <w:spacing w:after="0" w:line="43" w:lineRule="exact"/>
        <w:rPr>
          <w:sz w:val="24"/>
          <w:szCs w:val="24"/>
          <w:color w:val="auto"/>
        </w:rPr>
      </w:pPr>
    </w:p>
    <w:p>
      <w:pPr>
        <w:sectPr>
          <w:pgSz w:w="11900" w:h="16838" w:orient="portrait"/>
          <w:cols w:equalWidth="0" w:num="2">
            <w:col w:w="7760" w:space="720"/>
            <w:col w:w="2600"/>
          </w:cols>
          <w:pgMar w:left="320" w:top="983" w:right="4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80" w:space="720"/>
            <w:col w:w="2780"/>
          </w:cols>
          <w:pgMar w:left="320" w:top="983" w:right="499" w:bottom="1440" w:gutter="0" w:footer="0" w:header="0"/>
          <w:type w:val="continuous"/>
        </w:sectPr>
      </w:pPr>
    </w:p>
    <w:p>
      <w:pPr>
        <w:spacing w:after="0" w:line="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(301) 280-7777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Securities registered pursuant to Section 12 (b) of the Exchange Act:</w:t>
      </w:r>
    </w:p>
    <w:p>
      <w:pPr>
        <w:spacing w:after="0" w:line="132"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Class</w:t>
            </w:r>
          </w:p>
        </w:tc>
        <w:tc>
          <w:tcPr>
            <w:tcW w:w="2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860" w:type="dxa"/>
            <w:vAlign w:val="bottom"/>
          </w:tcPr>
          <w:p>
            <w:pPr>
              <w:spacing w:after="0"/>
              <w:rPr>
                <w:sz w:val="18"/>
                <w:szCs w:val="18"/>
                <w:color w:val="auto"/>
              </w:rPr>
            </w:pPr>
          </w:p>
        </w:tc>
        <w:tc>
          <w:tcPr>
            <w:tcW w:w="38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9"/>
        </w:trPr>
        <w:tc>
          <w:tcPr>
            <w:tcW w:w="48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Shares of beneficial interest, par value</w:t>
            </w:r>
          </w:p>
        </w:tc>
        <w:tc>
          <w:tcPr>
            <w:tcW w:w="20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RLJ</w:t>
            </w:r>
          </w:p>
        </w:tc>
        <w:tc>
          <w:tcPr>
            <w:tcW w:w="880" w:type="dxa"/>
            <w:vAlign w:val="bottom"/>
          </w:tcPr>
          <w:p>
            <w:pPr>
              <w:spacing w:after="0"/>
              <w:rPr>
                <w:sz w:val="22"/>
                <w:szCs w:val="22"/>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8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$0.01 per share</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37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May 5, 2025, RLJ Lodging Trust (the “Company”) issued a press release announcing its financial results for the quarter ended March 31, 2025. A copy of the press release is furnished as Exhibit 99.1 to this Current Report on Form 8-K.</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820" w:hanging="2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20" w:hanging="2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report:</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2" w:lineRule="exact"/>
        <w:rPr>
          <w:sz w:val="20"/>
          <w:szCs w:val="20"/>
          <w:color w:val="auto"/>
        </w:rPr>
      </w:pPr>
    </w:p>
    <w:p>
      <w:pPr>
        <w:ind w:left="1120"/>
        <w:spacing w:after="0"/>
        <w:tabs>
          <w:tab w:leader="none" w:pos="1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5, 2025, issued by RLJ Lodging Trust, providing financial results for the quarter ended March 31,</w:t>
      </w:r>
    </w:p>
    <w:p>
      <w:pPr>
        <w:ind w:left="1940"/>
        <w:spacing w:after="0"/>
        <w:rPr>
          <w:sz w:val="20"/>
          <w:szCs w:val="20"/>
          <w:color w:val="auto"/>
        </w:rPr>
      </w:pPr>
      <w:r>
        <w:rPr>
          <w:rFonts w:ascii="Times New Roman" w:cs="Times New Roman" w:eastAsia="Times New Roman" w:hAnsi="Times New Roman"/>
          <w:sz w:val="18"/>
          <w:szCs w:val="18"/>
          <w:u w:val="single" w:color="auto"/>
          <w:color w:val="0000FF"/>
        </w:rPr>
        <w:t>2025.</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RLJ LODGING TRUST</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2025</w:t>
            </w: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D. Hale</w:t>
            </w:r>
          </w:p>
        </w:tc>
      </w:tr>
      <w:tr>
        <w:trPr>
          <w:trHeight w:val="218"/>
        </w:trPr>
        <w:tc>
          <w:tcPr>
            <w:tcW w:w="3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D. Hale</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LIST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tcPr>
          <w:p>
            <w:pPr>
              <w:spacing w:after="0"/>
              <w:rPr>
                <w:sz w:val="24"/>
                <w:szCs w:val="24"/>
                <w:color w:val="auto"/>
              </w:rPr>
            </w:pPr>
          </w:p>
        </w:tc>
        <w:tc>
          <w:tcPr>
            <w:tcW w:w="60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60" w:type="dxa"/>
            <w:vAlign w:val="bottom"/>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40" w:type="dxa"/>
            <w:vAlign w:val="bottom"/>
          </w:tcPr>
          <w:p>
            <w:pPr>
              <w:jc w:val="right"/>
              <w:ind w:right="242"/>
              <w:spacing w:after="0" w:line="199" w:lineRule="exact"/>
              <w:rPr>
                <w:sz w:val="20"/>
                <w:szCs w:val="20"/>
                <w:color w:val="auto"/>
              </w:rPr>
            </w:pPr>
            <w:r>
              <w:rPr>
                <w:rFonts w:ascii="Times New Roman" w:cs="Times New Roman" w:eastAsia="Times New Roman" w:hAnsi="Times New Roman"/>
                <w:sz w:val="18"/>
                <w:szCs w:val="18"/>
                <w:color w:val="auto"/>
              </w:rPr>
              <w:t>99.1</w:t>
            </w:r>
          </w:p>
        </w:tc>
        <w:tc>
          <w:tcPr>
            <w:tcW w:w="9260" w:type="dxa"/>
            <w:vAlign w:val="bottom"/>
            <w:tcBorders>
              <w:bottom w:val="single" w:sz="8" w:color="0000FF"/>
            </w:tcBorders>
            <w:gridSpan w:val="3"/>
          </w:tcPr>
          <w:p>
            <w:pPr>
              <w:spacing w:after="0" w:line="199" w:lineRule="exact"/>
              <w:rPr>
                <w:sz w:val="20"/>
                <w:szCs w:val="20"/>
                <w:color w:val="auto"/>
              </w:rPr>
            </w:pPr>
            <w:r>
              <w:rPr>
                <w:rFonts w:ascii="Times New Roman" w:cs="Times New Roman" w:eastAsia="Times New Roman" w:hAnsi="Times New Roman"/>
                <w:sz w:val="18"/>
                <w:szCs w:val="18"/>
                <w:color w:val="0000FF"/>
                <w:w w:val="99"/>
              </w:rPr>
              <w:t>Press release dated May 5, 2025, issued by RLJ Lodging Trust, providing financial results for the quarter ended March 31, 2025.</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73" w:right="359" w:bottom="1440" w:gutter="0" w:footer="0" w:header="0"/>
        </w:sectPr>
      </w:pPr>
    </w:p>
    <w:bookmarkStart w:id="2" w:name="page3"/>
    <w:bookmarkEnd w:id="2"/>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9"/>
          <w:szCs w:val="29"/>
          <w:b w:val="1"/>
          <w:bCs w:val="1"/>
          <w:color w:val="auto"/>
        </w:rPr>
        <w:t>Press Release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RLJ Lodging Trust Reports First Quarter 2025 Results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Q1 RevPAR increased 1.6%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Addressed all 2025 debt maturities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Repurchased 2.7 million shares for $24.3 million year-to-date</w:t>
      </w:r>
    </w:p>
    <w:p>
      <w:pPr>
        <w:spacing w:after="0" w:line="22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Bethesda, MD, May 5, 2025 – RLJ Lodging Trust (the “Company”) (NYSE: RLJ) today reported results for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Highlights</w:t>
      </w:r>
    </w:p>
    <w:p>
      <w:pPr>
        <w:spacing w:after="0" w:line="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Portfolio Comparable RevPAR of $141.23; an increase of 1.6% over the prior year</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Revenues of $328.1 million</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$3.2 million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Comparable Hotel EBITDA of $85.3 million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Adjusted EBITDA of $77.6 million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Adjusted FFO per diluted common share and unit of $0.31</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one non-core hotel for $24.3 million</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Recycled proceeds from asset sale to repurchase 2.7 million shares for approximately $24.3 million</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Addressed all 2025 debt maturities and fully paid down our revolver following recent term loan refinancing</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i w:val="1"/>
          <w:iCs w:val="1"/>
          <w:color w:val="auto"/>
        </w:rPr>
        <w:t>“We are pleased with our solid first quarter results which exceeded our expectations and were driven by our robust performance in urban markets and our strong momentum from conversions. Our ability to drive rate in this environment and control costs allowed us to exceed our EBITDA outlook. Additionally, we successfully recycled capital from disposition proceeds towards accretive share repurchases and further strengthened our balance sheet as we addressed all near-term debt maturities,” commented Leslie D. Hale, President and Chief Executive Officer. “The heightened macroeconomic uncertainty has tempered our near-term view on fundamentals. Therefore, we are updating our outlook to reflect the current environment, which we assume will persist for the remainder of the year. Relative to this backdrop, we are well-positioned to navigate this choppy environment given our diversified urban-centric portfolio, our lean operating model and a favorable capital structure.”</w:t>
      </w:r>
    </w:p>
    <w:p>
      <w:pPr>
        <w:spacing w:after="0" w:line="20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i w:val="1"/>
          <w:iCs w:val="1"/>
          <w:color w:val="auto"/>
        </w:rPr>
        <w:t>The prefix “comparable” as defined by the Company, denotes operating results which include results for periods prior to its ownership and excludes sold hotels. Explanations of EBITDA, EBITDAre, Adjusted EBITDA, Hotel EBITDA, Hotel EBITDA Margin, FFO, and Adjusted FFO, as well as reconciliations of those measures to net income or loss, if applicable, are included within this release.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and Operating Highlights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ADR, RevPAR, Change, and per share amounts)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540" w:type="dxa"/>
            <w:vAlign w:val="bottom"/>
            <w:shd w:val="clear" w:color="auto" w:fill="162835"/>
          </w:tcPr>
          <w:p>
            <w:pPr>
              <w:spacing w:after="0"/>
              <w:rPr>
                <w:sz w:val="17"/>
                <w:szCs w:val="17"/>
                <w:color w:val="auto"/>
              </w:rPr>
            </w:pPr>
          </w:p>
        </w:tc>
        <w:tc>
          <w:tcPr>
            <w:tcW w:w="1080" w:type="dxa"/>
            <w:vAlign w:val="bottom"/>
            <w:shd w:val="clear" w:color="auto" w:fill="162835"/>
          </w:tcPr>
          <w:p>
            <w:pPr>
              <w:spacing w:after="0"/>
              <w:rPr>
                <w:sz w:val="17"/>
                <w:szCs w:val="17"/>
                <w:color w:val="auto"/>
              </w:rPr>
            </w:pPr>
          </w:p>
        </w:tc>
        <w:tc>
          <w:tcPr>
            <w:tcW w:w="2440" w:type="dxa"/>
            <w:vAlign w:val="bottom"/>
            <w:shd w:val="clear" w:color="auto" w:fill="162835"/>
          </w:tcPr>
          <w:p>
            <w:pPr>
              <w:ind w:left="40"/>
              <w:spacing w:after="0"/>
              <w:rPr>
                <w:sz w:val="20"/>
                <w:szCs w:val="20"/>
                <w:color w:val="auto"/>
              </w:rPr>
            </w:pPr>
            <w:r>
              <w:rPr>
                <w:rFonts w:ascii="Times New Roman" w:cs="Times New Roman" w:eastAsia="Times New Roman" w:hAnsi="Times New Roman"/>
                <w:sz w:val="14"/>
                <w:szCs w:val="14"/>
                <w:b w:val="1"/>
                <w:bCs w:val="1"/>
                <w:color w:val="FFFFFF"/>
              </w:rPr>
              <w:t>For the three months ended March 31,</w:t>
            </w:r>
          </w:p>
        </w:tc>
        <w:tc>
          <w:tcPr>
            <w:tcW w:w="1060" w:type="dxa"/>
            <w:vAlign w:val="bottom"/>
            <w:shd w:val="clear" w:color="auto" w:fill="162835"/>
          </w:tcPr>
          <w:p>
            <w:pPr>
              <w:spacing w:after="0"/>
              <w:rPr>
                <w:sz w:val="17"/>
                <w:szCs w:val="17"/>
                <w:color w:val="auto"/>
              </w:rPr>
            </w:pPr>
          </w:p>
        </w:tc>
      </w:tr>
      <w:tr>
        <w:trPr>
          <w:trHeight w:val="196"/>
        </w:trPr>
        <w:tc>
          <w:tcPr>
            <w:tcW w:w="6540" w:type="dxa"/>
            <w:vAlign w:val="bottom"/>
            <w:tcBorders>
              <w:bottom w:val="single" w:sz="8" w:color="162835"/>
            </w:tcBorders>
            <w:shd w:val="clear" w:color="auto" w:fill="162835"/>
          </w:tcPr>
          <w:p>
            <w:pPr>
              <w:spacing w:after="0"/>
              <w:rPr>
                <w:sz w:val="17"/>
                <w:szCs w:val="17"/>
                <w:color w:val="auto"/>
              </w:rPr>
            </w:pPr>
          </w:p>
        </w:tc>
        <w:tc>
          <w:tcPr>
            <w:tcW w:w="1080" w:type="dxa"/>
            <w:vAlign w:val="bottom"/>
            <w:tcBorders>
              <w:bottom w:val="single" w:sz="8" w:color="162835"/>
            </w:tcBorders>
            <w:shd w:val="clear" w:color="auto" w:fill="162835"/>
          </w:tcPr>
          <w:p>
            <w:pPr>
              <w:jc w:val="center"/>
              <w:ind w:left="3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440" w:type="dxa"/>
            <w:vAlign w:val="bottom"/>
            <w:tcBorders>
              <w:bottom w:val="single" w:sz="8" w:color="162835"/>
            </w:tcBorders>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2024</w:t>
            </w:r>
          </w:p>
        </w:tc>
        <w:tc>
          <w:tcPr>
            <w:tcW w:w="1060" w:type="dxa"/>
            <w:vAlign w:val="bottom"/>
            <w:tcBorders>
              <w:bottom w:val="single" w:sz="8" w:color="162835"/>
            </w:tcBorders>
            <w:shd w:val="clear" w:color="auto" w:fill="162835"/>
          </w:tcPr>
          <w:p>
            <w:pPr>
              <w:jc w:val="center"/>
              <w:ind w:right="388"/>
              <w:spacing w:after="0"/>
              <w:rPr>
                <w:sz w:val="20"/>
                <w:szCs w:val="20"/>
                <w:color w:val="auto"/>
              </w:rPr>
            </w:pPr>
            <w:r>
              <w:rPr>
                <w:rFonts w:ascii="Times New Roman" w:cs="Times New Roman" w:eastAsia="Times New Roman" w:hAnsi="Times New Roman"/>
                <w:sz w:val="14"/>
                <w:szCs w:val="14"/>
                <w:b w:val="1"/>
                <w:bCs w:val="1"/>
                <w:color w:val="FFFFFF"/>
              </w:rPr>
              <w:t>Change</w:t>
            </w:r>
          </w:p>
        </w:tc>
      </w:tr>
      <w:tr>
        <w:trPr>
          <w:trHeight w:val="203"/>
        </w:trPr>
        <w:tc>
          <w:tcPr>
            <w:tcW w:w="6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Operational Overview: </w:t>
            </w:r>
            <w:r>
              <w:rPr>
                <w:rFonts w:ascii="Times New Roman" w:cs="Times New Roman" w:eastAsia="Times New Roman" w:hAnsi="Times New Roman"/>
                <w:sz w:val="14"/>
                <w:szCs w:val="14"/>
                <w:color w:val="auto"/>
              </w:rPr>
              <w:t>(1)</w:t>
            </w:r>
          </w:p>
        </w:tc>
        <w:tc>
          <w:tcPr>
            <w:tcW w:w="1080" w:type="dxa"/>
            <w:vAlign w:val="bottom"/>
            <w:shd w:val="clear" w:color="auto" w:fill="EEEEEE"/>
          </w:tcPr>
          <w:p>
            <w:pPr>
              <w:spacing w:after="0"/>
              <w:rPr>
                <w:sz w:val="17"/>
                <w:szCs w:val="17"/>
                <w:color w:val="auto"/>
              </w:rPr>
            </w:pPr>
          </w:p>
        </w:tc>
        <w:tc>
          <w:tcPr>
            <w:tcW w:w="24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ADR</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$204.31</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$200.07</w:t>
            </w:r>
          </w:p>
        </w:tc>
        <w:tc>
          <w:tcPr>
            <w:tcW w:w="106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6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Occupancy</w:t>
            </w:r>
          </w:p>
        </w:tc>
        <w:tc>
          <w:tcPr>
            <w:tcW w:w="1080" w:type="dxa"/>
            <w:vAlign w:val="bottom"/>
            <w:shd w:val="clear" w:color="auto" w:fill="EEEEEE"/>
          </w:tcPr>
          <w:p>
            <w:pPr>
              <w:jc w:val="center"/>
              <w:ind w:left="388"/>
              <w:spacing w:after="0"/>
              <w:rPr>
                <w:sz w:val="20"/>
                <w:szCs w:val="20"/>
                <w:color w:val="auto"/>
              </w:rPr>
            </w:pPr>
            <w:r>
              <w:rPr>
                <w:rFonts w:ascii="Times New Roman" w:cs="Times New Roman" w:eastAsia="Times New Roman" w:hAnsi="Times New Roman"/>
                <w:sz w:val="14"/>
                <w:szCs w:val="14"/>
                <w:color w:val="auto"/>
              </w:rPr>
              <w:t>69.1%</w:t>
            </w:r>
          </w:p>
        </w:tc>
        <w:tc>
          <w:tcPr>
            <w:tcW w:w="2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69.5%</w:t>
            </w:r>
          </w:p>
        </w:tc>
        <w:tc>
          <w:tcPr>
            <w:tcW w:w="1060" w:type="dxa"/>
            <w:vAlign w:val="bottom"/>
            <w:shd w:val="clear" w:color="auto" w:fill="EEEEEE"/>
          </w:tcPr>
          <w:p>
            <w:pPr>
              <w:jc w:val="center"/>
              <w:ind w:right="388"/>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RevPAR</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$141.23</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$138.97</w:t>
            </w:r>
          </w:p>
        </w:tc>
        <w:tc>
          <w:tcPr>
            <w:tcW w:w="106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1.6%</w:t>
            </w:r>
          </w:p>
        </w:tc>
      </w:tr>
      <w:tr>
        <w:trPr>
          <w:trHeight w:val="223"/>
        </w:trPr>
        <w:tc>
          <w:tcPr>
            <w:tcW w:w="65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4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Overview:</w:t>
            </w:r>
          </w:p>
        </w:tc>
        <w:tc>
          <w:tcPr>
            <w:tcW w:w="10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6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80" w:type="dxa"/>
            <w:vAlign w:val="bottom"/>
            <w:shd w:val="clear" w:color="auto" w:fill="EEEEEE"/>
          </w:tcPr>
          <w:p>
            <w:pPr>
              <w:jc w:val="center"/>
              <w:ind w:left="388"/>
              <w:spacing w:after="0"/>
              <w:rPr>
                <w:sz w:val="20"/>
                <w:szCs w:val="20"/>
                <w:color w:val="auto"/>
              </w:rPr>
            </w:pPr>
            <w:r>
              <w:rPr>
                <w:rFonts w:ascii="Times New Roman" w:cs="Times New Roman" w:eastAsia="Times New Roman" w:hAnsi="Times New Roman"/>
                <w:sz w:val="14"/>
                <w:szCs w:val="14"/>
                <w:color w:val="auto"/>
              </w:rPr>
              <w:t>$328,119</w:t>
            </w:r>
          </w:p>
        </w:tc>
        <w:tc>
          <w:tcPr>
            <w:tcW w:w="2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$324,410</w:t>
            </w:r>
          </w:p>
        </w:tc>
        <w:tc>
          <w:tcPr>
            <w:tcW w:w="1060" w:type="dxa"/>
            <w:vAlign w:val="bottom"/>
            <w:shd w:val="clear" w:color="auto" w:fill="EEEEEE"/>
          </w:tcPr>
          <w:p>
            <w:pPr>
              <w:jc w:val="center"/>
              <w:ind w:right="368"/>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Hotel Revenue</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$327,000</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$323,230</w:t>
            </w:r>
          </w:p>
        </w:tc>
        <w:tc>
          <w:tcPr>
            <w:tcW w:w="106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1.2%</w:t>
            </w:r>
          </w:p>
        </w:tc>
      </w:tr>
      <w:tr>
        <w:trPr>
          <w:trHeight w:val="223"/>
        </w:trPr>
        <w:tc>
          <w:tcPr>
            <w:tcW w:w="65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4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$3,172</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$4,746</w:t>
            </w:r>
          </w:p>
        </w:tc>
        <w:tc>
          <w:tcPr>
            <w:tcW w:w="106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(33.2)%</w:t>
            </w:r>
          </w:p>
        </w:tc>
      </w:tr>
      <w:tr>
        <w:trPr>
          <w:trHeight w:val="223"/>
        </w:trPr>
        <w:tc>
          <w:tcPr>
            <w:tcW w:w="65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4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Hotel EBITDA</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$85,297</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$88,337</w:t>
            </w:r>
          </w:p>
        </w:tc>
        <w:tc>
          <w:tcPr>
            <w:tcW w:w="106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6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Hotel EBITDA Margin</w:t>
            </w:r>
          </w:p>
        </w:tc>
        <w:tc>
          <w:tcPr>
            <w:tcW w:w="1080" w:type="dxa"/>
            <w:vAlign w:val="bottom"/>
            <w:shd w:val="clear" w:color="auto" w:fill="EEEEEE"/>
          </w:tcPr>
          <w:p>
            <w:pPr>
              <w:jc w:val="center"/>
              <w:ind w:left="388"/>
              <w:spacing w:after="0"/>
              <w:rPr>
                <w:sz w:val="20"/>
                <w:szCs w:val="20"/>
                <w:color w:val="auto"/>
              </w:rPr>
            </w:pPr>
            <w:r>
              <w:rPr>
                <w:rFonts w:ascii="Times New Roman" w:cs="Times New Roman" w:eastAsia="Times New Roman" w:hAnsi="Times New Roman"/>
                <w:sz w:val="14"/>
                <w:szCs w:val="14"/>
                <w:color w:val="auto"/>
              </w:rPr>
              <w:t>26.1%</w:t>
            </w:r>
          </w:p>
        </w:tc>
        <w:tc>
          <w:tcPr>
            <w:tcW w:w="2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27.3%</w:t>
            </w:r>
          </w:p>
        </w:tc>
        <w:tc>
          <w:tcPr>
            <w:tcW w:w="1060" w:type="dxa"/>
            <w:vAlign w:val="bottom"/>
            <w:shd w:val="clear" w:color="auto" w:fill="EEEEEE"/>
          </w:tcPr>
          <w:p>
            <w:pPr>
              <w:jc w:val="center"/>
              <w:ind w:right="388"/>
              <w:spacing w:after="0"/>
              <w:rPr>
                <w:sz w:val="20"/>
                <w:szCs w:val="20"/>
                <w:color w:val="auto"/>
              </w:rPr>
            </w:pPr>
            <w:r>
              <w:rPr>
                <w:rFonts w:ascii="Times New Roman" w:cs="Times New Roman" w:eastAsia="Times New Roman" w:hAnsi="Times New Roman"/>
                <w:sz w:val="14"/>
                <w:szCs w:val="14"/>
                <w:color w:val="auto"/>
              </w:rPr>
              <w:t>(124) bps</w:t>
            </w: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$77,594</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$79,594</w:t>
            </w:r>
          </w:p>
        </w:tc>
        <w:tc>
          <w:tcPr>
            <w:tcW w:w="106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(2.5)%</w:t>
            </w:r>
          </w:p>
        </w:tc>
      </w:tr>
      <w:tr>
        <w:trPr>
          <w:trHeight w:val="223"/>
        </w:trPr>
        <w:tc>
          <w:tcPr>
            <w:tcW w:w="65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4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FFO</w:t>
            </w:r>
          </w:p>
        </w:tc>
        <w:tc>
          <w:tcPr>
            <w:tcW w:w="10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$46,920</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$51,854</w:t>
            </w:r>
          </w:p>
        </w:tc>
        <w:tc>
          <w:tcPr>
            <w:tcW w:w="106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6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Adjusted FFO Per Diluted Common Share and Unit</w:t>
            </w:r>
          </w:p>
        </w:tc>
        <w:tc>
          <w:tcPr>
            <w:tcW w:w="1080" w:type="dxa"/>
            <w:vAlign w:val="bottom"/>
            <w:shd w:val="clear" w:color="auto" w:fill="EEEEEE"/>
          </w:tcPr>
          <w:p>
            <w:pPr>
              <w:jc w:val="center"/>
              <w:ind w:left="408"/>
              <w:spacing w:after="0"/>
              <w:rPr>
                <w:sz w:val="20"/>
                <w:szCs w:val="20"/>
                <w:color w:val="auto"/>
              </w:rPr>
            </w:pPr>
            <w:r>
              <w:rPr>
                <w:rFonts w:ascii="Times New Roman" w:cs="Times New Roman" w:eastAsia="Times New Roman" w:hAnsi="Times New Roman"/>
                <w:sz w:val="14"/>
                <w:szCs w:val="14"/>
                <w:color w:val="auto"/>
              </w:rPr>
              <w:t>$0.31</w:t>
            </w:r>
          </w:p>
        </w:tc>
        <w:tc>
          <w:tcPr>
            <w:tcW w:w="2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$0.33</w:t>
            </w:r>
          </w:p>
        </w:tc>
        <w:tc>
          <w:tcPr>
            <w:tcW w:w="1060" w:type="dxa"/>
            <w:vAlign w:val="bottom"/>
            <w:shd w:val="clear" w:color="auto" w:fill="EEEEEE"/>
          </w:tcPr>
          <w:p>
            <w:pPr>
              <w:jc w:val="center"/>
              <w:ind w:right="388"/>
              <w:spacing w:after="0"/>
              <w:rPr>
                <w:sz w:val="20"/>
                <w:szCs w:val="20"/>
                <w:color w:val="auto"/>
              </w:rPr>
            </w:pPr>
            <w:r>
              <w:rPr>
                <w:rFonts w:ascii="Times New Roman" w:cs="Times New Roman" w:eastAsia="Times New Roman" w:hAnsi="Times New Roman"/>
                <w:sz w:val="14"/>
                <w:szCs w:val="14"/>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-2357120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Comparable statistics reflect the Company's 94 hotel portfolio owned as of March 31,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Disposition</w:t>
      </w:r>
    </w:p>
    <w:p>
      <w:pPr>
        <w:spacing w:after="0" w:line="18"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1"/>
          <w:szCs w:val="21"/>
          <w:color w:val="auto"/>
        </w:rPr>
        <w:t>During the first quarter of 2025, the Company sold the 181-room Courtyard Atlanta Buckhead for $24.3 million, reflecting a 18.0x multiple based on projected 2025 Hotel EBITDA. The Company recorded a gain on the sale of $1.3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Share Repurchases</w:t>
      </w:r>
    </w:p>
    <w:p>
      <w:pPr>
        <w:spacing w:after="0" w:line="1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2"/>
          <w:szCs w:val="22"/>
          <w:color w:val="auto"/>
        </w:rPr>
        <w:t>During the first quarter, the Company repurchased 2.3 million common shares for approximately $21.3 million at an average price of $9.28. Year-to-date, the Company has repurchased 2.7 million common shares for approximately $24.3 million at an average price of $8.91. In April, the Company's Board of Trustees approved the 2025 share repurchase program to acquire up to an aggregate of $250.0 million of common and preferred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w:t>
      </w:r>
    </w:p>
    <w:p>
      <w:pPr>
        <w:spacing w:after="0" w:line="1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2"/>
          <w:szCs w:val="22"/>
          <w:color w:val="auto"/>
        </w:rPr>
        <w:t>As of March 31, 2025, the Company had approximately $847.5 million of total liquidity, comprised of approximately $347.5 million of unrestricted cash and $500.0 million available under its revolving credit facility (the "Revolver"), and $2.2 billion of debt outstanding.</w:t>
      </w:r>
    </w:p>
    <w:p>
      <w:pPr>
        <w:spacing w:after="0" w:line="20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In April 2025, the Company refinanced its $200.0 million term loan maturing in 2026, upsizing it to $300.0 million and extending the initial maturity to April 2030, inclusive of extension options. Borrowings under the amended term loan bear interest at a variable rate under the same pricing grid as the original loan. The Company utilized the incremental $100.0 million of proceeds to repay the outstanding balance on the Revolver. Additionally, the Company exercised the extension options on $181.0 million in mortgage loans to extend the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40" w:right="399" w:bottom="1440" w:gutter="0" w:footer="0" w:header="0"/>
        </w:sectPr>
      </w:pPr>
    </w:p>
    <w:bookmarkStart w:id="4" w:name="page5"/>
    <w:bookmarkEnd w:id="4"/>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Dividends</w:t>
      </w:r>
    </w:p>
    <w:p>
      <w:pPr>
        <w:spacing w:after="0" w:line="1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2"/>
          <w:szCs w:val="22"/>
          <w:color w:val="auto"/>
        </w:rPr>
        <w:t>The Company’s Board of Trustees declared a quarterly cash dividend of $0.15 per common share of beneficial interest of the Company in the first quarter. The dividend was paid on April 15, 2025 to shareholders of record as of March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Board of Trustees declared a first quarter cash dividend of $0.4875 on the Company’s Series A Preferred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dividend was paid on April 30, 2025 to shareholders of record as of March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2025 Outlook Update</w:t>
      </w:r>
    </w:p>
    <w:p>
      <w:pPr>
        <w:spacing w:after="0" w:line="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The Company is updating its full-year 2025 outlook to reflect first quarter results and the sale of the Courtyard Atlanta Buckhead and assumes that current operating trends continue through the balance of the year.</w:t>
      </w:r>
    </w:p>
    <w:p>
      <w:pPr>
        <w:spacing w:after="0" w:line="260" w:lineRule="exact"/>
        <w:rPr>
          <w:sz w:val="20"/>
          <w:szCs w:val="20"/>
          <w:color w:val="auto"/>
        </w:rPr>
      </w:pPr>
    </w:p>
    <w:tbl>
      <w:tblPr>
        <w:tblLayout w:type="fixed"/>
        <w:tblInd w:w="2580" w:type="dxa"/>
        <w:tblCellMar>
          <w:top w:w="0" w:type="dxa"/>
          <w:left w:w="0" w:type="dxa"/>
          <w:bottom w:w="0" w:type="dxa"/>
          <w:right w:w="0" w:type="dxa"/>
        </w:tblCellMar>
      </w:tblPr>
      <w:tr>
        <w:trPr>
          <w:trHeight w:val="256"/>
        </w:trPr>
        <w:tc>
          <w:tcPr>
            <w:tcW w:w="3100" w:type="dxa"/>
            <w:vAlign w:val="bottom"/>
            <w:shd w:val="clear" w:color="auto" w:fill="162835"/>
          </w:tcPr>
          <w:p>
            <w:pPr>
              <w:spacing w:after="0"/>
              <w:rPr>
                <w:sz w:val="22"/>
                <w:szCs w:val="22"/>
                <w:color w:val="auto"/>
              </w:rPr>
            </w:pPr>
          </w:p>
        </w:tc>
        <w:tc>
          <w:tcPr>
            <w:tcW w:w="2980" w:type="dxa"/>
            <w:vAlign w:val="bottom"/>
            <w:shd w:val="clear" w:color="auto" w:fill="162835"/>
          </w:tcPr>
          <w:p>
            <w:pPr>
              <w:jc w:val="center"/>
              <w:ind w:left="684"/>
              <w:spacing w:after="0"/>
              <w:rPr>
                <w:sz w:val="20"/>
                <w:szCs w:val="20"/>
                <w:color w:val="auto"/>
              </w:rPr>
            </w:pPr>
            <w:r>
              <w:rPr>
                <w:rFonts w:ascii="Times New Roman" w:cs="Times New Roman" w:eastAsia="Times New Roman" w:hAnsi="Times New Roman"/>
                <w:sz w:val="18"/>
                <w:szCs w:val="18"/>
                <w:b w:val="1"/>
                <w:bCs w:val="1"/>
                <w:color w:val="FFFFFF"/>
              </w:rPr>
              <w:t>FY 2025</w:t>
            </w: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RevPAR Growth</w:t>
            </w:r>
          </w:p>
        </w:tc>
        <w:tc>
          <w:tcPr>
            <w:tcW w:w="2980" w:type="dxa"/>
            <w:vAlign w:val="bottom"/>
          </w:tcPr>
          <w:p>
            <w:pPr>
              <w:jc w:val="center"/>
              <w:ind w:left="684"/>
              <w:spacing w:after="0"/>
              <w:rPr>
                <w:sz w:val="20"/>
                <w:szCs w:val="20"/>
                <w:color w:val="auto"/>
              </w:rPr>
            </w:pPr>
            <w:r>
              <w:rPr>
                <w:rFonts w:ascii="Times New Roman" w:cs="Times New Roman" w:eastAsia="Times New Roman" w:hAnsi="Times New Roman"/>
                <w:sz w:val="14"/>
                <w:szCs w:val="14"/>
                <w:color w:val="auto"/>
              </w:rPr>
              <w:t>-1.0% to +1.0%</w:t>
            </w:r>
          </w:p>
        </w:tc>
      </w:tr>
      <w:tr>
        <w:trPr>
          <w:trHeight w:val="23"/>
        </w:trPr>
        <w:tc>
          <w:tcPr>
            <w:tcW w:w="31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196"/>
        </w:trPr>
        <w:tc>
          <w:tcPr>
            <w:tcW w:w="31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Comparable Hotel EBITDA</w:t>
            </w:r>
          </w:p>
        </w:tc>
        <w:tc>
          <w:tcPr>
            <w:tcW w:w="2980" w:type="dxa"/>
            <w:vAlign w:val="bottom"/>
            <w:tcBorders>
              <w:bottom w:val="single" w:sz="8" w:color="DBDBDB"/>
            </w:tcBorders>
            <w:shd w:val="clear" w:color="auto" w:fill="DBDBDB"/>
          </w:tcPr>
          <w:p>
            <w:pPr>
              <w:jc w:val="center"/>
              <w:ind w:left="684"/>
              <w:spacing w:after="0"/>
              <w:rPr>
                <w:sz w:val="20"/>
                <w:szCs w:val="20"/>
                <w:color w:val="auto"/>
              </w:rPr>
            </w:pPr>
            <w:r>
              <w:rPr>
                <w:rFonts w:ascii="Times New Roman" w:cs="Times New Roman" w:eastAsia="Times New Roman" w:hAnsi="Times New Roman"/>
                <w:sz w:val="14"/>
                <w:szCs w:val="14"/>
                <w:color w:val="auto"/>
              </w:rPr>
              <w:t>$365.5M to $395.5M</w:t>
            </w: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980" w:type="dxa"/>
            <w:vAlign w:val="bottom"/>
          </w:tcPr>
          <w:p>
            <w:pPr>
              <w:jc w:val="center"/>
              <w:ind w:left="684"/>
              <w:spacing w:after="0"/>
              <w:rPr>
                <w:sz w:val="20"/>
                <w:szCs w:val="20"/>
                <w:color w:val="auto"/>
              </w:rPr>
            </w:pPr>
            <w:r>
              <w:rPr>
                <w:rFonts w:ascii="Times New Roman" w:cs="Times New Roman" w:eastAsia="Times New Roman" w:hAnsi="Times New Roman"/>
                <w:sz w:val="14"/>
                <w:szCs w:val="14"/>
                <w:color w:val="auto"/>
              </w:rPr>
              <w:t>$332.5M to $362.5M</w:t>
            </w:r>
          </w:p>
        </w:tc>
      </w:tr>
      <w:tr>
        <w:trPr>
          <w:trHeight w:val="23"/>
        </w:trPr>
        <w:tc>
          <w:tcPr>
            <w:tcW w:w="31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193"/>
        </w:trPr>
        <w:tc>
          <w:tcPr>
            <w:tcW w:w="3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Adjusted FFO per diluted share</w:t>
            </w:r>
          </w:p>
        </w:tc>
        <w:tc>
          <w:tcPr>
            <w:tcW w:w="2980" w:type="dxa"/>
            <w:vAlign w:val="bottom"/>
            <w:shd w:val="clear" w:color="auto" w:fill="DBDBDB"/>
          </w:tcPr>
          <w:p>
            <w:pPr>
              <w:jc w:val="center"/>
              <w:ind w:left="684"/>
              <w:spacing w:after="0"/>
              <w:rPr>
                <w:sz w:val="20"/>
                <w:szCs w:val="20"/>
                <w:color w:val="auto"/>
              </w:rPr>
            </w:pPr>
            <w:r>
              <w:rPr>
                <w:rFonts w:ascii="Times New Roman" w:cs="Times New Roman" w:eastAsia="Times New Roman" w:hAnsi="Times New Roman"/>
                <w:sz w:val="14"/>
                <w:szCs w:val="14"/>
                <w:color w:val="auto"/>
              </w:rPr>
              <w:t>$1.38 to $1.58</w:t>
            </w:r>
          </w:p>
        </w:tc>
      </w:tr>
      <w:tr>
        <w:trPr>
          <w:trHeight w:val="23"/>
        </w:trPr>
        <w:tc>
          <w:tcPr>
            <w:tcW w:w="3100" w:type="dxa"/>
            <w:vAlign w:val="bottom"/>
            <w:shd w:val="clear" w:color="auto" w:fill="DBDBDB"/>
          </w:tcPr>
          <w:p>
            <w:pPr>
              <w:spacing w:after="0"/>
              <w:rPr>
                <w:sz w:val="2"/>
                <w:szCs w:val="2"/>
                <w:color w:val="auto"/>
              </w:rPr>
            </w:pPr>
          </w:p>
        </w:tc>
        <w:tc>
          <w:tcPr>
            <w:tcW w:w="2980" w:type="dxa"/>
            <w:vAlign w:val="bottom"/>
            <w:shd w:val="clear" w:color="auto" w:fill="DBDBDB"/>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Additionally, the Company's full year 2025 outlook includes:</w:t>
      </w:r>
    </w:p>
    <w:p>
      <w:pPr>
        <w:spacing w:after="0" w:line="2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expense in the range of $94.0 million to $96.0 million</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corporate G&amp;A in the range of $34.0 million to $35.0 million</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related to renovations in the range of $80.0 million to $100.0 million</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Diluted weighted average common shares and units of 151.5 million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changes to prior assumptions for renovation displacement</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the closure of the Austin convention center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Call</w:t>
      </w:r>
    </w:p>
    <w:p>
      <w:pPr>
        <w:spacing w:after="0" w:line="33"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2"/>
          <w:szCs w:val="22"/>
          <w:color w:val="auto"/>
        </w:rPr>
        <w:t xml:space="preserve">The Company will conduct its quarterly analyst and investor conference call on May 5, 2025 at 11:00 a.m. (Eastern Time). The conference call can be accessed by dialing (877) 407-3982 or (201) 493-6780 for international participants and requesting RLJ Lodging Trust’s first quarter earnings conference call. Additionally, a live webcast of the conference call will be available through the Company’s website at http://www.rljlodgingtrust.com. A replay of the conference call webcast will be archived and available through the </w:t>
      </w:r>
      <w:r>
        <w:rPr>
          <w:rFonts w:ascii="Times New Roman" w:cs="Times New Roman" w:eastAsia="Times New Roman" w:hAnsi="Times New Roman"/>
          <w:sz w:val="22"/>
          <w:szCs w:val="22"/>
          <w:i w:val="1"/>
          <w:iCs w:val="1"/>
          <w:color w:val="auto"/>
        </w:rPr>
        <w:t>Investor Relations</w:t>
      </w:r>
      <w:r>
        <w:rPr>
          <w:rFonts w:ascii="Times New Roman" w:cs="Times New Roman" w:eastAsia="Times New Roman" w:hAnsi="Times New Roman"/>
          <w:sz w:val="22"/>
          <w:szCs w:val="22"/>
          <w:color w:val="auto"/>
        </w:rPr>
        <w:t xml:space="preserve"> section of the Company’s website for two weeks.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Information</w:t>
      </w:r>
    </w:p>
    <w:p>
      <w:pPr>
        <w:spacing w:after="0" w:line="3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 xml:space="preserve">Please refer to the presentation of supplemental information for additional detail and comparable operating statistics, which will be available through the </w:t>
      </w:r>
      <w:r>
        <w:rPr>
          <w:rFonts w:ascii="Times New Roman" w:cs="Times New Roman" w:eastAsia="Times New Roman" w:hAnsi="Times New Roman"/>
          <w:sz w:val="22"/>
          <w:szCs w:val="22"/>
          <w:i w:val="1"/>
          <w:iCs w:val="1"/>
          <w:color w:val="auto"/>
        </w:rPr>
        <w:t>Investor Relations</w:t>
      </w:r>
      <w:r>
        <w:rPr>
          <w:rFonts w:ascii="Times New Roman" w:cs="Times New Roman" w:eastAsia="Times New Roman" w:hAnsi="Times New Roman"/>
          <w:sz w:val="22"/>
          <w:szCs w:val="22"/>
          <w:color w:val="auto"/>
        </w:rPr>
        <w:t xml:space="preserve"> section of the Company's website.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Us</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RLJ Lodging Trust ("RLJ") is a self-advised, publicly traded real estate investment trust that owns 94 premium-branded, rooms-oriented, high-margin, urban-centric hotels located within the heart of demand locations. Our hotels are geographically diverse and concentrated in major urban markets that provide multiple demand generators from business, leisure, and other travelers.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i w:val="1"/>
          <w:iCs w:val="1"/>
          <w:color w:val="auto"/>
        </w:rPr>
        <w:t>This information contains certain statements, other than purely historical information, including estimates, projections, statements relating to the Company’s business plans, objectives and expected operating results, and the assumptions upon which those statements are based, that are “forward looking statements” within the meaning of the Private Securities Litigation Reform Act of 1995, Section 27A of the Securities Act of 1933, as amended, and Section 21E of the Securities Exchange Act of 1934, as amended. These forward-looking statements generally are identified by the use of the words “believe,” “project,” “expect,” “anticipate,” “estimate,” “plan,” “may,” “will,” “will continue,” “intend,” “should,” “may,” or similar expressions. Although the Company believes that the expectations reflected in such forward-looking statements are based upon reasonable assumptions, beliefs and expectations, such forward-looking statements are not predictions of future events or guarantees of future performance and our actual results could differ materially from those set forth in the forward-looking statements. Except as required by law, the Company undertakes no obligation to update or revise publicly any forward-looking statements, whether as a result of new information, future events or otherwise. The Company cautions investors not to place undue reliance on these forward-looking statements and urges investors to carefully review the disclosures the Company makes concerning risks and uncertainties in the sections entitled “Risk Factors,” “Forward-Looking Statements,” and “Management’s Discussion and Analysis of Financial Condition and Results of Operations” in the Company’s Annual Report on Form 10-K for the year ended December 31, 2024 and the Company's Quarterly Report on Form 10-Q for the quarter ended March 31, 2025, which will be filed on May 5, 2025, as well as risks, uncertainties and other factors discussed in other documents filed by the Company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Contact:</w:t>
      </w:r>
    </w:p>
    <w:p>
      <w:pPr>
        <w:spacing w:after="0" w:line="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Sean M. Mahoney, Executive Vice President and Chief Financial Officer – (301) 280-7774 </w:t>
      </w:r>
      <w:r>
        <w:rPr>
          <w:rFonts w:ascii="Times New Roman" w:cs="Times New Roman" w:eastAsia="Times New Roman" w:hAnsi="Times New Roman"/>
          <w:sz w:val="22"/>
          <w:szCs w:val="22"/>
          <w:i w:val="1"/>
          <w:iCs w:val="1"/>
          <w:color w:val="auto"/>
        </w:rPr>
        <w:t>For additional information or to receive press releases via email, please visit our website: https://www.rljlodgingtrust.com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 w:name="page7"/>
    <w:bookmarkEnd w:id="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Non-GAAP and Accounting Commentary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Non-Generally Accepted Accounting Principles (“Non-GAAP”) Financial Measures</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The Company considers the following non-GAAP financial measures useful to investors as key supplemental measures of its performance: (1) FFO, (2) Adjusted FFO, (3) EBITDA, (4)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(5) Adjusted EBITDA, (6) Hotel EBITDA, and (7) Hotel EBITDA Margin. These Non-GAAP financial measures should be considered along with, but not as alternatives to, net income or loss as a measure of its operating performance. FFO, Adjusted FFO, EBITDA,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Adjusted EBITDA, Hotel EBITDA, and Hotel EBITDA Margin, as calculated by the Company, may not be comparable to other companies that do not define such terms exactly as the Company defines such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Funds From Operations (“FFO”)</w:t>
      </w:r>
    </w:p>
    <w:p>
      <w:pPr>
        <w:spacing w:after="0" w:line="3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The Company calculates Funds from Operations (“FFO”) in accordance with standards established by the National Association of Real Estate Investment Trusts, or NAREIT, which defines FFO as net income or loss (calculated in accordance with GAAP), excluding gains or losses from sales of real estate, impairment, the cumulative effect of changes in accounting principles, plus depreciation and amortization, and adjustments for unconsolidated partnerships and joint ventures. Historical cost accounting for real estate assets implicitly assumes that the value of real estate assets diminishes predictably over time. Since real estate values have instead historically risen or fallen with market conditions, most real estate industry investors consider FFO to be helpful in evaluating a real estate company’s operations. The Company believes that the presentation of FFO provides useful information to investors regarding the Company’s operating performance and can facilitate comparisons of operating performance between periods and between real estate investment trusts (“REITs”), even though FFO does not represent an amount that accrues directly to common shareholders.</w:t>
      </w:r>
    </w:p>
    <w:p>
      <w:pPr>
        <w:spacing w:after="0" w:line="2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The Company’s calculation of FFO may not be comparable to measures calculated by other companies who do not use the NAREIT definition of FFO or do not calculate FFO per diluted share in accordance with NAREIT guidance. Additionally, FFO may not be helpful when comparing the Company to non-REITs. The Company presents FFO attributable to common shareholders, which includes unitholders of limited partnership interest (“OP units”) in RLJ Lodging Trust, L.P., the Company’s operating partnership, because the OP units may be redeemed for common shares of the Company. The Company believes it is meaningful for the investor to understand FFO attributable to all common shares and OP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EBITDA and EBITDA</w:t>
      </w:r>
      <w:r>
        <w:rPr>
          <w:rFonts w:ascii="Times New Roman" w:cs="Times New Roman" w:eastAsia="Times New Roman" w:hAnsi="Times New Roman"/>
          <w:sz w:val="22"/>
          <w:szCs w:val="22"/>
          <w:b w:val="1"/>
          <w:bCs w:val="1"/>
          <w:i w:val="1"/>
          <w:iCs w:val="1"/>
          <w:u w:val="single" w:color="auto"/>
          <w:color w:val="auto"/>
        </w:rPr>
        <w:t>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Earnings Before Interest, Taxes, Depreciation, and Amortization (“EBITDA”) is defined as net income or loss excluding:</w:t>
      </w:r>
    </w:p>
    <w:p>
      <w:pPr>
        <w:spacing w:after="0" w:line="4" w:lineRule="exact"/>
        <w:rPr>
          <w:sz w:val="20"/>
          <w:szCs w:val="20"/>
          <w:color w:val="auto"/>
        </w:rPr>
      </w:pPr>
    </w:p>
    <w:p>
      <w:pPr>
        <w:ind w:right="60" w:firstLine="8"/>
        <w:spacing w:after="0" w:line="247"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(2) income tax expense; and (3) depreciation and amortization expense. The Company considers EBITDA useful to an investor in evaluating and facilitating comparisons of its operating performance between periods and between REITs by removing the impact of its capital structure (primarily interest expense) and asset base (primarily depreciation and amortization expense) from its operating results. In addition, EBITDA is used as one measure in determining the value of hotel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7" w:name="page8"/>
    <w:bookmarkEnd w:id="7"/>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ind w:right="80"/>
        <w:spacing w:after="0" w:line="269" w:lineRule="auto"/>
        <w:rPr>
          <w:sz w:val="20"/>
          <w:szCs w:val="20"/>
          <w:color w:val="auto"/>
        </w:rPr>
      </w:pPr>
      <w:r>
        <w:rPr>
          <w:rFonts w:ascii="Times New Roman" w:cs="Times New Roman" w:eastAsia="Times New Roman" w:hAnsi="Times New Roman"/>
          <w:sz w:val="21"/>
          <w:szCs w:val="21"/>
          <w:color w:val="auto"/>
        </w:rPr>
        <w:t>In addition to EBITDA, the Company presents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in accordance with NAREIT guidelines, which defines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as net income or loss (calculated in accordance with GAAP) excluding interest expense, income tax expense, depreciation and amortization expense, gains or losses from sales of real estate, impairment, and adjustments for unconsolidated joint ventures. The Company believes that the presentation of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provides useful information to investors regarding the Company's operating performance and can facilitate comparisons of operating performance between periods and between REITs.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Adjustments to FFO and EBITDA</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Company adjusts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for certain items that the Company considers outside the normal course of operations. The Company believes that Adjusted FFO, Adjusted EBITDA, and Adjusted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provide useful supplemental information to investors regarding its ongoing operating performance that, when considered with net income or loss,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are beneficial to an investor’s understanding of the Company's operating performance. The Company adjusts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for the following items:</w:t>
      </w:r>
    </w:p>
    <w:p>
      <w:pPr>
        <w:spacing w:after="0" w:line="209"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i w:val="1"/>
          <w:iCs w:val="1"/>
          <w:color w:val="auto"/>
        </w:rPr>
        <w:t xml:space="preserve">Transaction Costs: </w:t>
      </w:r>
      <w:r>
        <w:rPr>
          <w:rFonts w:ascii="Times New Roman" w:cs="Times New Roman" w:eastAsia="Times New Roman" w:hAnsi="Times New Roman"/>
          <w:sz w:val="22"/>
          <w:szCs w:val="22"/>
          <w:color w:val="auto"/>
        </w:rPr>
        <w:t>The Company excludes transaction costs expensed during the period</w:t>
      </w:r>
    </w:p>
    <w:p>
      <w:pPr>
        <w:spacing w:after="0" w:line="33"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i w:val="1"/>
          <w:iCs w:val="1"/>
          <w:color w:val="auto"/>
        </w:rPr>
        <w:t xml:space="preserve">Pre-Opening Costs: </w:t>
      </w:r>
      <w:r>
        <w:rPr>
          <w:rFonts w:ascii="Times New Roman" w:cs="Times New Roman" w:eastAsia="Times New Roman" w:hAnsi="Times New Roman"/>
          <w:sz w:val="22"/>
          <w:szCs w:val="22"/>
          <w:color w:val="auto"/>
        </w:rPr>
        <w:t>The Company excludes certain costs related to pre-opening of hotels</w:t>
      </w:r>
    </w:p>
    <w:p>
      <w:pPr>
        <w:spacing w:after="0" w:line="15" w:lineRule="exact"/>
        <w:rPr>
          <w:rFonts w:ascii="Times New Roman" w:cs="Times New Roman" w:eastAsia="Times New Roman" w:hAnsi="Times New Roman"/>
          <w:sz w:val="20"/>
          <w:szCs w:val="20"/>
          <w:i w:val="1"/>
          <w:iCs w:val="1"/>
          <w:color w:val="auto"/>
        </w:rPr>
      </w:pPr>
    </w:p>
    <w:p>
      <w:pPr>
        <w:ind w:left="660" w:hanging="328"/>
        <w:spacing w:after="0" w:line="247" w:lineRule="auto"/>
        <w:tabs>
          <w:tab w:leader="none" w:pos="655"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Non-Cash Expenses: </w:t>
      </w:r>
      <w:r>
        <w:rPr>
          <w:rFonts w:ascii="Times New Roman" w:cs="Times New Roman" w:eastAsia="Times New Roman" w:hAnsi="Times New Roman"/>
          <w:sz w:val="22"/>
          <w:szCs w:val="22"/>
          <w:color w:val="auto"/>
        </w:rPr>
        <w:t>The Company excludes the effect of certain non-cash items such as the amortization of share-based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non-cash income tax expense or benefit, and non-cash interest expense related to discontinued interest rate hedges</w:t>
      </w:r>
    </w:p>
    <w:p>
      <w:pPr>
        <w:spacing w:after="0" w:line="1" w:lineRule="exact"/>
        <w:rPr>
          <w:rFonts w:ascii="Times New Roman" w:cs="Times New Roman" w:eastAsia="Times New Roman" w:hAnsi="Times New Roman"/>
          <w:sz w:val="22"/>
          <w:szCs w:val="22"/>
          <w:i w:val="1"/>
          <w:iCs w:val="1"/>
          <w:color w:val="auto"/>
        </w:rPr>
      </w:pPr>
    </w:p>
    <w:p>
      <w:pPr>
        <w:ind w:left="660" w:right="340" w:hanging="328"/>
        <w:spacing w:after="0" w:line="24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Non-Operational Expenses: </w:t>
      </w:r>
      <w:r>
        <w:rPr>
          <w:rFonts w:ascii="Times New Roman" w:cs="Times New Roman" w:eastAsia="Times New Roman" w:hAnsi="Times New Roman"/>
          <w:sz w:val="22"/>
          <w:szCs w:val="22"/>
          <w:color w:val="auto"/>
        </w:rPr>
        <w:t>The Company excludes the effect of certain non-operational expenses representing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expenses outside the normal course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Hotel EBITDA and Hotel EBITDA Margin</w:t>
      </w:r>
    </w:p>
    <w:p>
      <w:pPr>
        <w:spacing w:after="0" w:line="3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With respect to Consolidated Hotel EBITDA, the Company believes that excluding the effect of corporate-level expenses and certain non-cash items provides a more complete understanding of the operating results over which individual hotels and operators have direct control. The Company believes property-level results provide investors with supplemental information about the ongoing operational performance of the Company’s hotels and the effectiveness of third-party management companies.</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Comparable Hotel EBITDA and Comparable Hotel EBITDA margin include prior ownership information provided by the sellers of the hotels for periods prior to our acquisition of the hotels and excludes results from sold hotels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Comparable adjustments: Acquired hotel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three months ended March 31, 2025 and 2024, Comparable adjustments included the following acquired hotel:</w:t>
      </w:r>
    </w:p>
    <w:p>
      <w:pPr>
        <w:spacing w:after="0" w:line="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Hotel Teatro acquired in June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Comparable adjustments: Sold hotels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three months ended March 31, 2025 and 2024, Comparable adjustments included the following sold hotels:</w:t>
      </w:r>
    </w:p>
    <w:p>
      <w:pPr>
        <w:spacing w:after="0" w:line="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Residence Inn Merrillville sold in May 2024</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Fairfield Inn &amp; Suites Denver Cherry Creek sold in September 2024</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Courtyard Atlanta Buckhead sold in March 2025</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40" w:right="399" w:bottom="1440" w:gutter="0" w:footer="0" w:header="0"/>
        </w:sectPr>
      </w:pPr>
    </w:p>
    <w:bookmarkStart w:id="8" w:name="page9"/>
    <w:bookmarkEnd w:id="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40" w:type="dxa"/>
            <w:vAlign w:val="bottom"/>
            <w:shd w:val="clear" w:color="auto" w:fill="162835"/>
          </w:tcPr>
          <w:p>
            <w:pPr>
              <w:spacing w:after="0"/>
              <w:rPr>
                <w:sz w:val="17"/>
                <w:szCs w:val="17"/>
                <w:color w:val="auto"/>
              </w:rPr>
            </w:pPr>
          </w:p>
        </w:tc>
        <w:tc>
          <w:tcPr>
            <w:tcW w:w="200" w:type="dxa"/>
            <w:vAlign w:val="bottom"/>
            <w:shd w:val="clear" w:color="auto" w:fill="162835"/>
          </w:tcPr>
          <w:p>
            <w:pPr>
              <w:spacing w:after="0"/>
              <w:rPr>
                <w:sz w:val="17"/>
                <w:szCs w:val="17"/>
                <w:color w:val="auto"/>
              </w:rPr>
            </w:pPr>
          </w:p>
        </w:tc>
        <w:tc>
          <w:tcPr>
            <w:tcW w:w="1560" w:type="dxa"/>
            <w:vAlign w:val="bottom"/>
            <w:gridSpan w:val="2"/>
            <w:shd w:val="clear" w:color="auto" w:fill="162835"/>
          </w:tcPr>
          <w:p>
            <w:pPr>
              <w:ind w:left="140"/>
              <w:spacing w:after="0"/>
              <w:rPr>
                <w:sz w:val="20"/>
                <w:szCs w:val="20"/>
                <w:color w:val="auto"/>
              </w:rPr>
            </w:pPr>
            <w:r>
              <w:rPr>
                <w:rFonts w:ascii="Times New Roman" w:cs="Times New Roman" w:eastAsia="Times New Roman" w:hAnsi="Times New Roman"/>
                <w:sz w:val="14"/>
                <w:szCs w:val="14"/>
                <w:b w:val="1"/>
                <w:bCs w:val="1"/>
                <w:color w:val="FFFFFF"/>
              </w:rPr>
              <w:t>March 31, 2025</w:t>
            </w:r>
          </w:p>
        </w:tc>
        <w:tc>
          <w:tcPr>
            <w:tcW w:w="160" w:type="dxa"/>
            <w:vAlign w:val="bottom"/>
            <w:shd w:val="clear" w:color="auto" w:fill="162835"/>
          </w:tcPr>
          <w:p>
            <w:pPr>
              <w:spacing w:after="0"/>
              <w:rPr>
                <w:sz w:val="17"/>
                <w:szCs w:val="17"/>
                <w:color w:val="auto"/>
              </w:rPr>
            </w:pPr>
          </w:p>
        </w:tc>
        <w:tc>
          <w:tcPr>
            <w:tcW w:w="1440" w:type="dxa"/>
            <w:vAlign w:val="bottom"/>
            <w:shd w:val="clear" w:color="auto" w:fill="162835"/>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0" w:type="dxa"/>
            <w:vAlign w:val="bottom"/>
          </w:tcPr>
          <w:p>
            <w:pPr>
              <w:spacing w:after="0"/>
              <w:rPr>
                <w:sz w:val="1"/>
                <w:szCs w:val="1"/>
                <w:color w:val="auto"/>
              </w:rPr>
            </w:pPr>
          </w:p>
        </w:tc>
      </w:tr>
      <w:tr>
        <w:trPr>
          <w:trHeight w:val="203"/>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hotel properties, net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4,225,887</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4,250,524</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7,638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409,809</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Restricted cash reserves</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24,868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23,516</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Hotel and other receivables, net of allowance of $114 and $169, respectively</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25,494</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126,889</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128,111</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Prepaid expense and other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57,265</w:t>
            </w:r>
          </w:p>
        </w:tc>
        <w:tc>
          <w:tcPr>
            <w:tcW w:w="1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38,968</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EEEEEE"/>
            </w:tcBorders>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EEEEEE"/>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4,817,588</w:t>
            </w:r>
          </w:p>
        </w:tc>
        <w:tc>
          <w:tcPr>
            <w:tcW w:w="1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4,883,879</w:t>
            </w:r>
          </w:p>
        </w:tc>
        <w:tc>
          <w:tcPr>
            <w:tcW w:w="0" w:type="dxa"/>
            <w:vAlign w:val="bottom"/>
          </w:tcPr>
          <w:p>
            <w:pPr>
              <w:spacing w:after="0"/>
              <w:rPr>
                <w:sz w:val="1"/>
                <w:szCs w:val="1"/>
                <w:color w:val="auto"/>
              </w:rPr>
            </w:pPr>
          </w:p>
        </w:tc>
      </w:tr>
      <w:tr>
        <w:trPr>
          <w:trHeight w:val="20"/>
        </w:trPr>
        <w:tc>
          <w:tcPr>
            <w:tcW w:w="7840" w:type="dxa"/>
            <w:vAlign w:val="bottom"/>
            <w:tcBorders>
              <w:top w:val="single" w:sz="8" w:color="EEEEEE"/>
              <w:bottom w:val="single" w:sz="8" w:color="EEEEEE"/>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top w:val="single" w:sz="8" w:color="EEEEEE"/>
              <w:bottom w:val="single" w:sz="8" w:color="auto"/>
            </w:tcBorders>
          </w:tcPr>
          <w:p>
            <w:pPr>
              <w:spacing w:after="0" w:line="20" w:lineRule="exact"/>
              <w:rPr>
                <w:sz w:val="1"/>
                <w:szCs w:val="1"/>
                <w:color w:val="auto"/>
              </w:rPr>
            </w:pPr>
          </w:p>
        </w:tc>
        <w:tc>
          <w:tcPr>
            <w:tcW w:w="1420" w:type="dxa"/>
            <w:vAlign w:val="bottom"/>
            <w:tcBorders>
              <w:top w:val="single" w:sz="8" w:color="EEEEEE"/>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bottom w:val="single" w:sz="8" w:color="auto"/>
            </w:tcBorders>
          </w:tcPr>
          <w:p>
            <w:pPr>
              <w:spacing w:after="0" w:line="20" w:lineRule="exact"/>
              <w:rPr>
                <w:sz w:val="1"/>
                <w:szCs w:val="1"/>
                <w:color w:val="auto"/>
              </w:rPr>
            </w:pPr>
          </w:p>
        </w:tc>
        <w:tc>
          <w:tcPr>
            <w:tcW w:w="1440" w:type="dxa"/>
            <w:vAlign w:val="bottom"/>
            <w:tcBorders>
              <w:top w:val="single" w:sz="8" w:color="EEEE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Debt, net</w:t>
            </w:r>
          </w:p>
        </w:tc>
        <w:tc>
          <w:tcPr>
            <w:tcW w:w="200" w:type="dxa"/>
            <w:vAlign w:val="bottom"/>
            <w:shd w:val="clear" w:color="auto" w:fill="EEEEEE"/>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2,221,406</w:t>
            </w: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2,220,081</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154,643</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Advance deposits and deferred revenue</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40,553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40,242</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119,102</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10,885</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20,900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30,346</w:t>
            </w:r>
          </w:p>
        </w:tc>
        <w:tc>
          <w:tcPr>
            <w:tcW w:w="1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30,634</w:t>
            </w:r>
          </w:p>
        </w:tc>
        <w:tc>
          <w:tcPr>
            <w:tcW w:w="0" w:type="dxa"/>
            <w:vAlign w:val="bottom"/>
          </w:tcPr>
          <w:p>
            <w:pPr>
              <w:spacing w:after="0"/>
              <w:rPr>
                <w:sz w:val="1"/>
                <w:szCs w:val="1"/>
                <w:color w:val="auto"/>
              </w:rPr>
            </w:pPr>
          </w:p>
        </w:tc>
      </w:tr>
      <w:tr>
        <w:trPr>
          <w:trHeight w:val="203"/>
        </w:trPr>
        <w:tc>
          <w:tcPr>
            <w:tcW w:w="7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shd w:val="clear" w:color="auto" w:fill="EEEEEE"/>
          </w:tcPr>
          <w:p>
            <w:pPr>
              <w:spacing w:after="0"/>
              <w:rPr>
                <w:sz w:val="17"/>
                <w:szCs w:val="17"/>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2,569,975</w:t>
            </w: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2,585,602</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 of beneficial interest, $0.01 par value, 50,000,000 shares authorized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840" w:type="dxa"/>
            <w:vAlign w:val="bottom"/>
            <w:shd w:val="clear" w:color="auto" w:fill="EEEEEE"/>
          </w:tcPr>
          <w:p>
            <w:pPr>
              <w:ind w:left="140"/>
              <w:spacing w:after="0" w:line="147" w:lineRule="exact"/>
              <w:rPr>
                <w:sz w:val="20"/>
                <w:szCs w:val="20"/>
                <w:color w:val="auto"/>
              </w:rPr>
            </w:pPr>
            <w:r>
              <w:rPr>
                <w:rFonts w:ascii="Times New Roman" w:cs="Times New Roman" w:eastAsia="Times New Roman" w:hAnsi="Times New Roman"/>
                <w:sz w:val="14"/>
                <w:szCs w:val="14"/>
                <w:color w:val="auto"/>
              </w:rPr>
              <w:t>Series A Cumulative Convertible Preferred Shares, $0.01 par value, 12,950,000 shares authorized; 12,879,475 shares issued and</w:t>
            </w:r>
          </w:p>
        </w:tc>
        <w:tc>
          <w:tcPr>
            <w:tcW w:w="200" w:type="dxa"/>
            <w:vAlign w:val="bottom"/>
            <w:shd w:val="clear" w:color="auto" w:fill="EEEEEE"/>
          </w:tcPr>
          <w:p>
            <w:pPr>
              <w:spacing w:after="0"/>
              <w:rPr>
                <w:sz w:val="12"/>
                <w:szCs w:val="12"/>
                <w:color w:val="auto"/>
              </w:rPr>
            </w:pPr>
          </w:p>
        </w:tc>
        <w:tc>
          <w:tcPr>
            <w:tcW w:w="142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366,936</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4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366,936</w:t>
            </w:r>
          </w:p>
        </w:tc>
        <w:tc>
          <w:tcPr>
            <w:tcW w:w="0" w:type="dxa"/>
            <w:vAlign w:val="bottom"/>
          </w:tcPr>
          <w:p>
            <w:pPr>
              <w:spacing w:after="0"/>
              <w:rPr>
                <w:sz w:val="1"/>
                <w:szCs w:val="1"/>
                <w:color w:val="auto"/>
              </w:rPr>
            </w:pPr>
          </w:p>
        </w:tc>
      </w:tr>
      <w:tr>
        <w:trPr>
          <w:trHeight w:val="198"/>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outstanding, liquidation value of $328,266, at March 31, 2025 and December 31, 2024</w:t>
            </w:r>
          </w:p>
        </w:tc>
        <w:tc>
          <w:tcPr>
            <w:tcW w:w="200" w:type="dxa"/>
            <w:vAlign w:val="bottom"/>
            <w:shd w:val="clear" w:color="auto" w:fill="EEEEEE"/>
          </w:tcPr>
          <w:p>
            <w:pPr>
              <w:spacing w:after="0"/>
              <w:rPr>
                <w:sz w:val="17"/>
                <w:szCs w:val="17"/>
                <w:color w:val="auto"/>
              </w:rPr>
            </w:pPr>
          </w:p>
        </w:tc>
        <w:tc>
          <w:tcPr>
            <w:tcW w:w="1420" w:type="dxa"/>
            <w:vAlign w:val="bottom"/>
            <w:vMerge w:val="continue"/>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shares of beneficial interest, $0.01 par value, 450,000,000 shares authorized; 151,926,642 and 153,295,577 shares issued</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193"/>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outstanding at March 31, 2025 and December 31, 2024, respectively</w:t>
            </w: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2,973,288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2,992,487</w:t>
            </w: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in excess of net earnings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(1,116,044)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(1,090,186)</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8,492</w:t>
            </w:r>
          </w:p>
        </w:tc>
        <w:tc>
          <w:tcPr>
            <w:tcW w:w="14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13,788</w:t>
            </w:r>
          </w:p>
        </w:tc>
        <w:tc>
          <w:tcPr>
            <w:tcW w:w="0" w:type="dxa"/>
            <w:vAlign w:val="bottom"/>
          </w:tcPr>
          <w:p>
            <w:pPr>
              <w:spacing w:after="0"/>
              <w:rPr>
                <w:sz w:val="1"/>
                <w:szCs w:val="1"/>
                <w:color w:val="auto"/>
              </w:rPr>
            </w:pPr>
          </w:p>
        </w:tc>
      </w:tr>
      <w:tr>
        <w:trPr>
          <w:trHeight w:val="189"/>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2,234,191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2,284,558</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 in the Operating Partnership</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20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4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EEEEEE"/>
            </w:tcBorders>
          </w:tcPr>
          <w:p>
            <w:pPr>
              <w:ind w:left="220"/>
              <w:spacing w:after="0"/>
              <w:rPr>
                <w:sz w:val="20"/>
                <w:szCs w:val="20"/>
                <w:color w:val="auto"/>
              </w:rPr>
            </w:pPr>
            <w:r>
              <w:rPr>
                <w:rFonts w:ascii="Times New Roman" w:cs="Times New Roman" w:eastAsia="Times New Roman" w:hAnsi="Times New Roman"/>
                <w:sz w:val="14"/>
                <w:szCs w:val="14"/>
                <w:color w:val="auto"/>
              </w:rPr>
              <w:t>Total noncontrolling interest</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13,422</w:t>
            </w:r>
          </w:p>
        </w:tc>
        <w:tc>
          <w:tcPr>
            <w:tcW w:w="140" w:type="dxa"/>
            <w:vAlign w:val="bottom"/>
            <w:tcBorders>
              <w:bottom w:val="single" w:sz="8" w:color="EEEEEE"/>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13,719</w:t>
            </w:r>
          </w:p>
        </w:tc>
        <w:tc>
          <w:tcPr>
            <w:tcW w:w="0" w:type="dxa"/>
            <w:vAlign w:val="bottom"/>
          </w:tcPr>
          <w:p>
            <w:pPr>
              <w:spacing w:after="0"/>
              <w:rPr>
                <w:sz w:val="1"/>
                <w:szCs w:val="1"/>
                <w:color w:val="auto"/>
              </w:rPr>
            </w:pPr>
          </w:p>
        </w:tc>
      </w:tr>
      <w:tr>
        <w:trPr>
          <w:trHeight w:val="196"/>
        </w:trPr>
        <w:tc>
          <w:tcPr>
            <w:tcW w:w="7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00" w:type="dxa"/>
            <w:vAlign w:val="bottom"/>
            <w:tcBorders>
              <w:bottom w:val="single" w:sz="8" w:color="auto"/>
            </w:tcBorders>
            <w:shd w:val="clear" w:color="auto" w:fill="EEEEEE"/>
          </w:tcPr>
          <w:p>
            <w:pPr>
              <w:spacing w:after="0"/>
              <w:rPr>
                <w:sz w:val="17"/>
                <w:szCs w:val="17"/>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2,247,613</w:t>
            </w:r>
          </w:p>
        </w:tc>
        <w:tc>
          <w:tcPr>
            <w:tcW w:w="14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2,298,277</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4,817,588</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4,883,879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corresponding notes to the consolidated financial statements can be found in the Company’s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9" w:name="page10"/>
    <w:bookmarkEnd w:id="9"/>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7540" w:type="dxa"/>
            <w:vAlign w:val="bottom"/>
            <w:shd w:val="clear" w:color="auto" w:fill="162835"/>
          </w:tcPr>
          <w:p>
            <w:pPr>
              <w:spacing w:after="0"/>
              <w:rPr>
                <w:sz w:val="17"/>
                <w:szCs w:val="17"/>
                <w:color w:val="auto"/>
              </w:rPr>
            </w:pPr>
          </w:p>
        </w:tc>
        <w:tc>
          <w:tcPr>
            <w:tcW w:w="280" w:type="dxa"/>
            <w:vAlign w:val="bottom"/>
            <w:shd w:val="clear" w:color="auto" w:fill="162835"/>
          </w:tcPr>
          <w:p>
            <w:pPr>
              <w:spacing w:after="0"/>
              <w:rPr>
                <w:sz w:val="17"/>
                <w:szCs w:val="17"/>
                <w:color w:val="auto"/>
              </w:rPr>
            </w:pPr>
          </w:p>
        </w:tc>
        <w:tc>
          <w:tcPr>
            <w:tcW w:w="3080" w:type="dxa"/>
            <w:vAlign w:val="bottom"/>
            <w:gridSpan w:val="4"/>
            <w:shd w:val="clear" w:color="auto" w:fill="162835"/>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For the three months ended March 31,</w:t>
            </w:r>
          </w:p>
        </w:tc>
      </w:tr>
      <w:tr>
        <w:trPr>
          <w:trHeight w:val="196"/>
        </w:trPr>
        <w:tc>
          <w:tcPr>
            <w:tcW w:w="7540" w:type="dxa"/>
            <w:vAlign w:val="bottom"/>
            <w:tcBorders>
              <w:bottom w:val="single" w:sz="8" w:color="162835"/>
            </w:tcBorders>
            <w:shd w:val="clear" w:color="auto" w:fill="162835"/>
          </w:tcPr>
          <w:p>
            <w:pPr>
              <w:spacing w:after="0"/>
              <w:rPr>
                <w:sz w:val="17"/>
                <w:szCs w:val="17"/>
                <w:color w:val="auto"/>
              </w:rPr>
            </w:pPr>
          </w:p>
        </w:tc>
        <w:tc>
          <w:tcPr>
            <w:tcW w:w="280" w:type="dxa"/>
            <w:vAlign w:val="bottom"/>
            <w:tcBorders>
              <w:bottom w:val="single" w:sz="8" w:color="162835"/>
            </w:tcBorders>
            <w:shd w:val="clear" w:color="auto" w:fill="162835"/>
          </w:tcPr>
          <w:p>
            <w:pPr>
              <w:spacing w:after="0"/>
              <w:rPr>
                <w:sz w:val="17"/>
                <w:szCs w:val="17"/>
                <w:color w:val="auto"/>
              </w:rPr>
            </w:pPr>
          </w:p>
        </w:tc>
        <w:tc>
          <w:tcPr>
            <w:tcW w:w="1340" w:type="dxa"/>
            <w:vAlign w:val="bottom"/>
            <w:tcBorders>
              <w:bottom w:val="single" w:sz="8" w:color="162835"/>
            </w:tcBorders>
            <w:shd w:val="clear" w:color="auto" w:fill="162835"/>
          </w:tcPr>
          <w:p>
            <w:pPr>
              <w:jc w:val="right"/>
              <w:ind w:right="5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Borders>
              <w:bottom w:val="single" w:sz="8" w:color="162835"/>
            </w:tcBorders>
            <w:shd w:val="clear" w:color="auto" w:fill="162835"/>
          </w:tcPr>
          <w:p>
            <w:pPr>
              <w:spacing w:after="0"/>
              <w:rPr>
                <w:sz w:val="17"/>
                <w:szCs w:val="17"/>
                <w:color w:val="auto"/>
              </w:rPr>
            </w:pPr>
          </w:p>
        </w:tc>
        <w:tc>
          <w:tcPr>
            <w:tcW w:w="380" w:type="dxa"/>
            <w:vAlign w:val="bottom"/>
            <w:tcBorders>
              <w:bottom w:val="single" w:sz="8" w:color="162835"/>
            </w:tcBorders>
            <w:shd w:val="clear" w:color="auto" w:fill="162835"/>
          </w:tcPr>
          <w:p>
            <w:pPr>
              <w:spacing w:after="0"/>
              <w:rPr>
                <w:sz w:val="17"/>
                <w:szCs w:val="17"/>
                <w:color w:val="auto"/>
              </w:rPr>
            </w:pPr>
          </w:p>
        </w:tc>
        <w:tc>
          <w:tcPr>
            <w:tcW w:w="1260" w:type="dxa"/>
            <w:vAlign w:val="bottom"/>
            <w:tcBorders>
              <w:bottom w:val="single" w:sz="8" w:color="162835"/>
            </w:tcBorders>
            <w:shd w:val="clear" w:color="auto" w:fill="162835"/>
          </w:tcPr>
          <w:p>
            <w:pPr>
              <w:jc w:val="right"/>
              <w:ind w:right="608"/>
              <w:spacing w:after="0"/>
              <w:rPr>
                <w:sz w:val="20"/>
                <w:szCs w:val="20"/>
                <w:color w:val="auto"/>
              </w:rPr>
            </w:pPr>
            <w:r>
              <w:rPr>
                <w:rFonts w:ascii="Times New Roman" w:cs="Times New Roman" w:eastAsia="Times New Roman" w:hAnsi="Times New Roman"/>
                <w:sz w:val="14"/>
                <w:szCs w:val="14"/>
                <w:b w:val="1"/>
                <w:bCs w:val="1"/>
                <w:color w:val="FFFFFF"/>
              </w:rPr>
              <w:t>2024</w:t>
            </w: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r>
      <w:tr>
        <w:trPr>
          <w:trHeight w:val="195"/>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revenues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75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Room revenue</w:t>
            </w:r>
          </w:p>
        </w:tc>
        <w:tc>
          <w:tcPr>
            <w:tcW w:w="280" w:type="dxa"/>
            <w:vAlign w:val="bottom"/>
            <w:shd w:val="clear" w:color="auto" w:fill="EEEEEE"/>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267,654</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266,630</w:t>
            </w:r>
          </w:p>
        </w:tc>
      </w:tr>
      <w:tr>
        <w:trPr>
          <w:trHeight w:val="195"/>
        </w:trPr>
        <w:tc>
          <w:tcPr>
            <w:tcW w:w="7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Food and beverage revenue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35,689</w:t>
            </w:r>
          </w:p>
        </w:tc>
      </w:tr>
      <w:tr>
        <w:trPr>
          <w:trHeight w:val="210"/>
        </w:trPr>
        <w:tc>
          <w:tcPr>
            <w:tcW w:w="75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Other revenue</w:t>
            </w:r>
          </w:p>
        </w:tc>
        <w:tc>
          <w:tcPr>
            <w:tcW w:w="28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22,952</w:t>
            </w:r>
          </w:p>
        </w:tc>
        <w:tc>
          <w:tcPr>
            <w:tcW w:w="100" w:type="dxa"/>
            <w:vAlign w:val="bottom"/>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22,091</w:t>
            </w:r>
          </w:p>
        </w:tc>
      </w:tr>
      <w:tr>
        <w:trPr>
          <w:trHeight w:val="189"/>
        </w:trPr>
        <w:tc>
          <w:tcPr>
            <w:tcW w:w="7540" w:type="dxa"/>
            <w:vAlign w:val="bottom"/>
            <w:tcBorders>
              <w:bottom w:val="single" w:sz="8" w:color="EEEEEE"/>
            </w:tcBorders>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328,119</w:t>
            </w:r>
          </w:p>
        </w:tc>
        <w:tc>
          <w:tcPr>
            <w:tcW w:w="100" w:type="dxa"/>
            <w:vAlign w:val="bottom"/>
            <w:tcBorders>
              <w:bottom w:val="single" w:sz="8" w:color="EEEEE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324,410</w:t>
            </w:r>
          </w:p>
        </w:tc>
      </w:tr>
      <w:tr>
        <w:trPr>
          <w:trHeight w:val="183"/>
        </w:trPr>
        <w:tc>
          <w:tcPr>
            <w:tcW w:w="75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Borders>
              <w:bottom w:val="single" w:sz="8" w:color="EEEEEE"/>
            </w:tcBorders>
            <w:shd w:val="clear" w:color="auto" w:fill="EEEEEE"/>
          </w:tcPr>
          <w:p>
            <w:pPr>
              <w:spacing w:after="0"/>
              <w:rPr>
                <w:sz w:val="15"/>
                <w:szCs w:val="15"/>
                <w:color w:val="auto"/>
              </w:rPr>
            </w:pPr>
          </w:p>
        </w:tc>
        <w:tc>
          <w:tcPr>
            <w:tcW w:w="134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c>
          <w:tcPr>
            <w:tcW w:w="380" w:type="dxa"/>
            <w:vAlign w:val="bottom"/>
            <w:tcBorders>
              <w:bottom w:val="single" w:sz="8" w:color="EEEEEE"/>
            </w:tcBorders>
            <w:shd w:val="clear" w:color="auto" w:fill="EEEEEE"/>
          </w:tcPr>
          <w:p>
            <w:pPr>
              <w:spacing w:after="0"/>
              <w:rPr>
                <w:sz w:val="15"/>
                <w:szCs w:val="15"/>
                <w:color w:val="auto"/>
              </w:rPr>
            </w:pPr>
          </w:p>
        </w:tc>
        <w:tc>
          <w:tcPr>
            <w:tcW w:w="1260" w:type="dxa"/>
            <w:vAlign w:val="bottom"/>
            <w:tcBorders>
              <w:bottom w:val="single" w:sz="8" w:color="EEEEEE"/>
            </w:tcBorders>
            <w:shd w:val="clear" w:color="auto" w:fill="EEEEEE"/>
          </w:tcPr>
          <w:p>
            <w:pPr>
              <w:spacing w:after="0"/>
              <w:rPr>
                <w:sz w:val="15"/>
                <w:szCs w:val="15"/>
                <w:color w:val="auto"/>
              </w:rPr>
            </w:pPr>
          </w:p>
        </w:tc>
      </w:tr>
      <w:tr>
        <w:trPr>
          <w:trHeight w:val="195"/>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75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Room expense</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70,851</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69,386</w:t>
            </w:r>
          </w:p>
        </w:tc>
      </w:tr>
      <w:tr>
        <w:trPr>
          <w:trHeight w:val="195"/>
        </w:trPr>
        <w:tc>
          <w:tcPr>
            <w:tcW w:w="7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Food and beverage expense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28,627</w:t>
            </w:r>
          </w:p>
        </w:tc>
      </w:tr>
      <w:tr>
        <w:trPr>
          <w:trHeight w:val="210"/>
        </w:trPr>
        <w:tc>
          <w:tcPr>
            <w:tcW w:w="75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Management and franchise fee expense</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25,202</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25,655</w:t>
            </w:r>
          </w:p>
        </w:tc>
      </w:tr>
      <w:tr>
        <w:trPr>
          <w:trHeight w:val="196"/>
        </w:trPr>
        <w:tc>
          <w:tcPr>
            <w:tcW w:w="7540" w:type="dxa"/>
            <w:vAlign w:val="bottom"/>
            <w:tcBorders>
              <w:bottom w:val="single" w:sz="8" w:color="EEEEEE"/>
            </w:tcBorders>
          </w:tcPr>
          <w:p>
            <w:pPr>
              <w:ind w:left="3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91,711</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89,809</w:t>
            </w:r>
          </w:p>
        </w:tc>
      </w:tr>
      <w:tr>
        <w:trPr>
          <w:trHeight w:val="203"/>
        </w:trPr>
        <w:tc>
          <w:tcPr>
            <w:tcW w:w="7540" w:type="dxa"/>
            <w:vAlign w:val="bottom"/>
            <w:shd w:val="clear" w:color="auto" w:fill="EEEEEE"/>
          </w:tcPr>
          <w:p>
            <w:pPr>
              <w:ind w:left="500"/>
              <w:spacing w:after="0"/>
              <w:rPr>
                <w:sz w:val="20"/>
                <w:szCs w:val="20"/>
                <w:color w:val="auto"/>
              </w:rPr>
            </w:pPr>
            <w:r>
              <w:rPr>
                <w:rFonts w:ascii="Times New Roman" w:cs="Times New Roman" w:eastAsia="Times New Roman" w:hAnsi="Times New Roman"/>
                <w:sz w:val="14"/>
                <w:szCs w:val="14"/>
                <w:color w:val="auto"/>
              </w:rPr>
              <w:t>Total property operating expenses</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217,053</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213,477</w:t>
            </w:r>
          </w:p>
        </w:tc>
      </w:tr>
      <w:tr>
        <w:trPr>
          <w:trHeight w:val="19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44,679</w:t>
            </w:r>
          </w:p>
        </w:tc>
      </w:tr>
      <w:tr>
        <w:trPr>
          <w:trHeight w:val="210"/>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Property tax, insurance and other</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27,203</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27,834</w:t>
            </w:r>
          </w:p>
        </w:tc>
      </w:tr>
      <w:tr>
        <w:trPr>
          <w:trHeight w:val="19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15,105</w:t>
            </w:r>
          </w:p>
        </w:tc>
      </w:tr>
      <w:tr>
        <w:trPr>
          <w:trHeight w:val="210"/>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28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7540" w:type="dxa"/>
            <w:vAlign w:val="bottom"/>
            <w:tcBorders>
              <w:bottom w:val="single" w:sz="8" w:color="EEEEEE"/>
            </w:tcBorders>
          </w:tcPr>
          <w:p>
            <w:pPr>
              <w:ind w:left="5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302,746</w:t>
            </w:r>
          </w:p>
        </w:tc>
        <w:tc>
          <w:tcPr>
            <w:tcW w:w="100" w:type="dxa"/>
            <w:vAlign w:val="bottom"/>
            <w:tcBorders>
              <w:bottom w:val="single" w:sz="8" w:color="EEEEE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301,109</w:t>
            </w:r>
          </w:p>
        </w:tc>
      </w:tr>
      <w:tr>
        <w:trPr>
          <w:trHeight w:val="203"/>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3,191</w:t>
            </w:r>
          </w:p>
        </w:tc>
      </w:tr>
      <w:tr>
        <w:trPr>
          <w:trHeight w:val="19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4,787</w:t>
            </w:r>
          </w:p>
        </w:tc>
      </w:tr>
      <w:tr>
        <w:trPr>
          <w:trHeight w:val="210"/>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(26,458)</w:t>
            </w:r>
          </w:p>
        </w:tc>
      </w:tr>
      <w:tr>
        <w:trPr>
          <w:trHeight w:val="196"/>
        </w:trPr>
        <w:tc>
          <w:tcPr>
            <w:tcW w:w="75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4"/>
                <w:szCs w:val="14"/>
                <w:color w:val="auto"/>
              </w:rPr>
              <w:t>Gain on sale of hotel property, net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Income before equity in income from unconsolidated joint ventures</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4,821</w:t>
            </w:r>
          </w:p>
        </w:tc>
      </w:tr>
      <w:tr>
        <w:trPr>
          <w:trHeight w:val="196"/>
        </w:trPr>
        <w:tc>
          <w:tcPr>
            <w:tcW w:w="75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Equity in income from unconsolidated joint ventures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5,055</w:t>
            </w:r>
          </w:p>
        </w:tc>
      </w:tr>
      <w:tr>
        <w:trPr>
          <w:trHeight w:val="196"/>
        </w:trPr>
        <w:tc>
          <w:tcPr>
            <w:tcW w:w="75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4,746</w:t>
            </w:r>
          </w:p>
        </w:tc>
      </w:tr>
      <w:tr>
        <w:trPr>
          <w:trHeight w:val="19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Noncontrolling interest in the Operating Partnership</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75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 attributable to RLJ</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4,937</w:t>
            </w:r>
          </w:p>
        </w:tc>
      </w:tr>
      <w:tr>
        <w:trPr>
          <w:trHeight w:val="196"/>
        </w:trPr>
        <w:tc>
          <w:tcPr>
            <w:tcW w:w="75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Borders>
              <w:bottom w:val="single" w:sz="8" w:color="EEEE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(6,279)</w:t>
            </w:r>
          </w:p>
        </w:tc>
      </w:tr>
      <w:tr>
        <w:trPr>
          <w:trHeight w:val="200"/>
        </w:trPr>
        <w:tc>
          <w:tcPr>
            <w:tcW w:w="75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280" w:type="dxa"/>
            <w:vAlign w:val="bottom"/>
            <w:tcBorders>
              <w:bottom w:val="single" w:sz="8" w:color="auto"/>
            </w:tcBorders>
            <w:shd w:val="clear" w:color="auto" w:fill="EEEEEE"/>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0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auto"/>
            </w:tcBorders>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(1,342)</w:t>
            </w:r>
          </w:p>
        </w:tc>
      </w:tr>
      <w:tr>
        <w:trPr>
          <w:trHeight w:val="20"/>
        </w:trPr>
        <w:tc>
          <w:tcPr>
            <w:tcW w:w="7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bottom w:val="single" w:sz="8" w:color="auto"/>
            </w:tcBorders>
          </w:tcPr>
          <w:p>
            <w:pPr>
              <w:spacing w:after="0" w:line="20" w:lineRule="exact"/>
              <w:rPr>
                <w:sz w:val="1"/>
                <w:szCs w:val="1"/>
                <w:color w:val="auto"/>
              </w:rPr>
            </w:pPr>
          </w:p>
        </w:tc>
        <w:tc>
          <w:tcPr>
            <w:tcW w:w="134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bottom w:val="single" w:sz="8" w:color="auto"/>
            </w:tcBorders>
          </w:tcPr>
          <w:p>
            <w:pPr>
              <w:spacing w:after="0" w:line="20" w:lineRule="exact"/>
              <w:rPr>
                <w:sz w:val="1"/>
                <w:szCs w:val="1"/>
                <w:color w:val="auto"/>
              </w:rPr>
            </w:pPr>
          </w:p>
        </w:tc>
        <w:tc>
          <w:tcPr>
            <w:tcW w:w="1260" w:type="dxa"/>
            <w:vAlign w:val="bottom"/>
            <w:tcBorders>
              <w:top w:val="single" w:sz="8" w:color="EEEEEE"/>
              <w:bottom w:val="single" w:sz="8" w:color="auto"/>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75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per common share data:</w:t>
            </w:r>
          </w:p>
        </w:tc>
        <w:tc>
          <w:tcPr>
            <w:tcW w:w="28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r>
      <w:tr>
        <w:trPr>
          <w:trHeight w:val="20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shareholders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0"/>
        </w:trPr>
        <w:tc>
          <w:tcPr>
            <w:tcW w:w="75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75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w:t>
            </w:r>
          </w:p>
        </w:tc>
        <w:tc>
          <w:tcPr>
            <w:tcW w:w="28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150,909,513</w:t>
            </w:r>
          </w:p>
        </w:tc>
        <w:tc>
          <w:tcPr>
            <w:tcW w:w="100" w:type="dxa"/>
            <w:vAlign w:val="bottom"/>
            <w:tcBorders>
              <w:bottom w:val="single" w:sz="8" w:color="EEEEEE"/>
            </w:tcBorders>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152,970,215</w:t>
            </w:r>
          </w:p>
        </w:tc>
      </w:tr>
      <w:tr>
        <w:trPr>
          <w:trHeight w:val="20"/>
        </w:trPr>
        <w:tc>
          <w:tcPr>
            <w:tcW w:w="7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bottom w:val="single" w:sz="8" w:color="auto"/>
            </w:tcBorders>
          </w:tcPr>
          <w:p>
            <w:pPr>
              <w:spacing w:after="0" w:line="20" w:lineRule="exact"/>
              <w:rPr>
                <w:sz w:val="1"/>
                <w:szCs w:val="1"/>
                <w:color w:val="auto"/>
              </w:rPr>
            </w:pPr>
          </w:p>
        </w:tc>
        <w:tc>
          <w:tcPr>
            <w:tcW w:w="134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bottom w:val="single" w:sz="8" w:color="auto"/>
            </w:tcBorders>
          </w:tcPr>
          <w:p>
            <w:pPr>
              <w:spacing w:after="0" w:line="20" w:lineRule="exact"/>
              <w:rPr>
                <w:sz w:val="1"/>
                <w:szCs w:val="1"/>
                <w:color w:val="auto"/>
              </w:rPr>
            </w:pPr>
          </w:p>
        </w:tc>
        <w:tc>
          <w:tcPr>
            <w:tcW w:w="1260" w:type="dxa"/>
            <w:vAlign w:val="bottom"/>
            <w:tcBorders>
              <w:top w:val="single" w:sz="8" w:color="EEEEE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-5057140</wp:posOffset>
            </wp:positionV>
            <wp:extent cx="2134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Statements of Comprehensive Income and corresponding notes to the consolidated financial statements can be found in the Company’s Quarterly Report on Form 10-Q.</w:t>
      </w: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320" w:top="1440" w:right="499" w:bottom="1440" w:gutter="0" w:footer="0" w:header="0"/>
        </w:sectPr>
      </w:pPr>
    </w:p>
    <w:bookmarkStart w:id="10" w:name="page11"/>
    <w:bookmarkEnd w:id="1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Attributable to Common Shareholders and Unitholders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820" w:type="dxa"/>
            <w:vAlign w:val="bottom"/>
            <w:shd w:val="clear" w:color="auto" w:fill="162835"/>
          </w:tcPr>
          <w:p>
            <w:pPr>
              <w:spacing w:after="0"/>
              <w:rPr>
                <w:sz w:val="17"/>
                <w:szCs w:val="17"/>
                <w:color w:val="auto"/>
              </w:rPr>
            </w:pPr>
          </w:p>
        </w:tc>
        <w:tc>
          <w:tcPr>
            <w:tcW w:w="3360" w:type="dxa"/>
            <w:vAlign w:val="bottom"/>
            <w:gridSpan w:val="5"/>
            <w:shd w:val="clear" w:color="auto" w:fill="162835"/>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For the three months ended March 31,</w:t>
            </w:r>
          </w:p>
        </w:tc>
      </w:tr>
      <w:tr>
        <w:trPr>
          <w:trHeight w:val="196"/>
        </w:trPr>
        <w:tc>
          <w:tcPr>
            <w:tcW w:w="7820" w:type="dxa"/>
            <w:vAlign w:val="bottom"/>
            <w:tcBorders>
              <w:bottom w:val="single" w:sz="8" w:color="162835"/>
            </w:tcBorders>
            <w:shd w:val="clear" w:color="auto" w:fill="162835"/>
          </w:tcPr>
          <w:p>
            <w:pPr>
              <w:spacing w:after="0"/>
              <w:rPr>
                <w:sz w:val="17"/>
                <w:szCs w:val="17"/>
                <w:color w:val="auto"/>
              </w:rPr>
            </w:pPr>
          </w:p>
        </w:tc>
        <w:tc>
          <w:tcPr>
            <w:tcW w:w="1020" w:type="dxa"/>
            <w:vAlign w:val="bottom"/>
            <w:tcBorders>
              <w:bottom w:val="single" w:sz="8" w:color="162835"/>
            </w:tcBorders>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600" w:type="dxa"/>
            <w:vAlign w:val="bottom"/>
            <w:tcBorders>
              <w:bottom w:val="single" w:sz="8" w:color="162835"/>
            </w:tcBorders>
            <w:shd w:val="clear" w:color="auto" w:fill="162835"/>
          </w:tcPr>
          <w:p>
            <w:pPr>
              <w:spacing w:after="0"/>
              <w:rPr>
                <w:sz w:val="17"/>
                <w:szCs w:val="17"/>
                <w:color w:val="auto"/>
              </w:rPr>
            </w:pPr>
          </w:p>
        </w:tc>
        <w:tc>
          <w:tcPr>
            <w:tcW w:w="100" w:type="dxa"/>
            <w:vAlign w:val="bottom"/>
            <w:tcBorders>
              <w:bottom w:val="single" w:sz="8" w:color="162835"/>
            </w:tcBorders>
            <w:shd w:val="clear" w:color="auto" w:fill="162835"/>
          </w:tcPr>
          <w:p>
            <w:pPr>
              <w:spacing w:after="0"/>
              <w:rPr>
                <w:sz w:val="17"/>
                <w:szCs w:val="17"/>
                <w:color w:val="auto"/>
              </w:rPr>
            </w:pPr>
          </w:p>
        </w:tc>
        <w:tc>
          <w:tcPr>
            <w:tcW w:w="380" w:type="dxa"/>
            <w:vAlign w:val="bottom"/>
            <w:tcBorders>
              <w:bottom w:val="single" w:sz="8" w:color="162835"/>
            </w:tcBorders>
            <w:shd w:val="clear" w:color="auto" w:fill="162835"/>
          </w:tcPr>
          <w:p>
            <w:pPr>
              <w:spacing w:after="0"/>
              <w:rPr>
                <w:sz w:val="17"/>
                <w:szCs w:val="17"/>
                <w:color w:val="auto"/>
              </w:rPr>
            </w:pPr>
          </w:p>
        </w:tc>
        <w:tc>
          <w:tcPr>
            <w:tcW w:w="1260" w:type="dxa"/>
            <w:vAlign w:val="bottom"/>
            <w:tcBorders>
              <w:bottom w:val="single" w:sz="8" w:color="162835"/>
            </w:tcBorders>
            <w:shd w:val="clear" w:color="auto" w:fill="162835"/>
          </w:tcPr>
          <w:p>
            <w:pPr>
              <w:jc w:val="right"/>
              <w:ind w:right="608"/>
              <w:spacing w:after="0"/>
              <w:rPr>
                <w:sz w:val="20"/>
                <w:szCs w:val="20"/>
                <w:color w:val="auto"/>
              </w:rPr>
            </w:pPr>
            <w:r>
              <w:rPr>
                <w:rFonts w:ascii="Times New Roman" w:cs="Times New Roman" w:eastAsia="Times New Roman" w:hAnsi="Times New Roman"/>
                <w:sz w:val="14"/>
                <w:szCs w:val="14"/>
                <w:b w:val="1"/>
                <w:bCs w:val="1"/>
                <w:color w:val="FFFFFF"/>
              </w:rPr>
              <w:t>2024</w:t>
            </w: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shd w:val="clear" w:color="auto" w:fill="EEEEEE"/>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4,746</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44,679</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property, net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related to consolidated joint venture (1)</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unconsolidated joint venture (2)</w:t>
            </w:r>
          </w:p>
        </w:tc>
        <w:tc>
          <w:tcPr>
            <w:tcW w:w="102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90"/>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FFO</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43,518</w:t>
            </w:r>
          </w:p>
        </w:tc>
      </w:tr>
      <w:tr>
        <w:trPr>
          <w:trHeight w:val="209"/>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Pre-opening costs (3)</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6,434</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interest expense related to discontinued interest rate hedges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Other expenses (4)</w:t>
            </w:r>
          </w:p>
        </w:tc>
        <w:tc>
          <w:tcPr>
            <w:tcW w:w="1020" w:type="dxa"/>
            <w:vAlign w:val="bottom"/>
            <w:tcBorders>
              <w:bottom w:val="single" w:sz="8" w:color="auto"/>
            </w:tcBorders>
            <w:shd w:val="clear" w:color="auto" w:fill="EEEEEE"/>
          </w:tcPr>
          <w:p>
            <w:pPr>
              <w:spacing w:after="0"/>
              <w:rPr>
                <w:sz w:val="17"/>
                <w:szCs w:val="17"/>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EEEEEE"/>
          </w:tcPr>
          <w:p>
            <w:pPr>
              <w:spacing w:after="0"/>
              <w:rPr>
                <w:sz w:val="17"/>
                <w:szCs w:val="17"/>
                <w:color w:val="auto"/>
              </w:rPr>
            </w:pPr>
          </w:p>
        </w:tc>
        <w:tc>
          <w:tcPr>
            <w:tcW w:w="380" w:type="dxa"/>
            <w:vAlign w:val="bottom"/>
            <w:tcBorders>
              <w:bottom w:val="single" w:sz="8" w:color="auto"/>
            </w:tcBorders>
            <w:shd w:val="clear" w:color="auto" w:fill="EEEEEE"/>
          </w:tcPr>
          <w:p>
            <w:pPr>
              <w:spacing w:after="0"/>
              <w:rPr>
                <w:sz w:val="17"/>
                <w:szCs w:val="17"/>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203"/>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FFO</w:t>
            </w: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46,920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51,854</w:t>
            </w:r>
          </w:p>
        </w:tc>
      </w:tr>
      <w:tr>
        <w:trPr>
          <w:trHeight w:val="20"/>
        </w:trPr>
        <w:tc>
          <w:tcPr>
            <w:tcW w:w="78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unit-basic</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0.34</w:t>
            </w:r>
          </w:p>
        </w:tc>
      </w:tr>
      <w:tr>
        <w:trPr>
          <w:trHeight w:val="209"/>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unit-diluted</w:t>
            </w:r>
          </w:p>
        </w:tc>
        <w:tc>
          <w:tcPr>
            <w:tcW w:w="1020" w:type="dxa"/>
            <w:vAlign w:val="bottom"/>
            <w:shd w:val="clear" w:color="auto" w:fill="EEEEEE"/>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0.33</w:t>
            </w:r>
          </w:p>
        </w:tc>
      </w:tr>
      <w:tr>
        <w:trPr>
          <w:trHeight w:val="270"/>
        </w:trPr>
        <w:tc>
          <w:tcPr>
            <w:tcW w:w="78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Basic weighted-average common shares and units outstanding (5)</w:t>
            </w:r>
          </w:p>
        </w:tc>
        <w:tc>
          <w:tcPr>
            <w:tcW w:w="1020" w:type="dxa"/>
            <w:vAlign w:val="bottom"/>
            <w:shd w:val="clear" w:color="auto" w:fill="EEEEEE"/>
          </w:tcPr>
          <w:p>
            <w:pPr>
              <w:spacing w:after="0"/>
              <w:rPr>
                <w:sz w:val="17"/>
                <w:szCs w:val="17"/>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151,681</w:t>
            </w: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153,742</w:t>
            </w: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and units outstanding (5)</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-2819400</wp:posOffset>
            </wp:positionV>
            <wp:extent cx="213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87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19"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expense allocated to the noncontrolling interest in the consolidated joint venture.</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ownership interest in the depreciation and amortization expense of the unconsolidated joint venture.</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the brand conversions of certain hotel properties prior to opening.</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and income outside of the normal course of operations.</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0.8 million weighted-average operating partnership units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800" w:type="dxa"/>
            <w:vAlign w:val="bottom"/>
            <w:shd w:val="clear" w:color="auto" w:fill="162835"/>
          </w:tcPr>
          <w:p>
            <w:pPr>
              <w:spacing w:after="0"/>
              <w:rPr>
                <w:sz w:val="17"/>
                <w:szCs w:val="17"/>
                <w:color w:val="auto"/>
              </w:rPr>
            </w:pPr>
          </w:p>
        </w:tc>
        <w:tc>
          <w:tcPr>
            <w:tcW w:w="292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three months ended March 31,</w:t>
            </w:r>
          </w:p>
        </w:tc>
        <w:tc>
          <w:tcPr>
            <w:tcW w:w="480" w:type="dxa"/>
            <w:vAlign w:val="bottom"/>
            <w:shd w:val="clear" w:color="auto" w:fill="162835"/>
          </w:tcPr>
          <w:p>
            <w:pPr>
              <w:spacing w:after="0"/>
              <w:rPr>
                <w:sz w:val="17"/>
                <w:szCs w:val="17"/>
                <w:color w:val="auto"/>
              </w:rPr>
            </w:pPr>
          </w:p>
        </w:tc>
      </w:tr>
      <w:tr>
        <w:trPr>
          <w:trHeight w:val="196"/>
        </w:trPr>
        <w:tc>
          <w:tcPr>
            <w:tcW w:w="7800" w:type="dxa"/>
            <w:vAlign w:val="bottom"/>
            <w:tcBorders>
              <w:bottom w:val="single" w:sz="8" w:color="162835"/>
            </w:tcBorders>
            <w:shd w:val="clear" w:color="auto" w:fill="162835"/>
          </w:tcPr>
          <w:p>
            <w:pPr>
              <w:spacing w:after="0"/>
              <w:rPr>
                <w:sz w:val="17"/>
                <w:szCs w:val="17"/>
                <w:color w:val="auto"/>
              </w:rPr>
            </w:pPr>
          </w:p>
        </w:tc>
        <w:tc>
          <w:tcPr>
            <w:tcW w:w="1080" w:type="dxa"/>
            <w:vAlign w:val="bottom"/>
            <w:tcBorders>
              <w:bottom w:val="single" w:sz="8" w:color="162835"/>
            </w:tcBorders>
            <w:shd w:val="clear" w:color="auto" w:fill="162835"/>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560" w:type="dxa"/>
            <w:vAlign w:val="bottom"/>
            <w:tcBorders>
              <w:bottom w:val="single" w:sz="8" w:color="162835"/>
            </w:tcBorders>
            <w:shd w:val="clear" w:color="auto" w:fill="162835"/>
          </w:tcPr>
          <w:p>
            <w:pPr>
              <w:spacing w:after="0"/>
              <w:rPr>
                <w:sz w:val="17"/>
                <w:szCs w:val="17"/>
                <w:color w:val="auto"/>
              </w:rPr>
            </w:pPr>
          </w:p>
        </w:tc>
        <w:tc>
          <w:tcPr>
            <w:tcW w:w="140" w:type="dxa"/>
            <w:vAlign w:val="bottom"/>
            <w:tcBorders>
              <w:bottom w:val="single" w:sz="8" w:color="162835"/>
            </w:tcBorders>
            <w:shd w:val="clear" w:color="auto" w:fill="162835"/>
          </w:tcPr>
          <w:p>
            <w:pPr>
              <w:spacing w:after="0"/>
              <w:rPr>
                <w:sz w:val="17"/>
                <w:szCs w:val="17"/>
                <w:color w:val="auto"/>
              </w:rPr>
            </w:pPr>
          </w:p>
        </w:tc>
        <w:tc>
          <w:tcPr>
            <w:tcW w:w="1140" w:type="dxa"/>
            <w:vAlign w:val="bottom"/>
            <w:tcBorders>
              <w:bottom w:val="single" w:sz="8" w:color="162835"/>
            </w:tcBorders>
            <w:shd w:val="clear" w:color="auto" w:fill="162835"/>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480" w:type="dxa"/>
            <w:vAlign w:val="bottom"/>
            <w:tcBorders>
              <w:bottom w:val="single" w:sz="8" w:color="162835"/>
            </w:tcBorders>
            <w:shd w:val="clear" w:color="auto" w:fill="162835"/>
          </w:tcPr>
          <w:p>
            <w:pPr>
              <w:spacing w:after="0"/>
              <w:rPr>
                <w:sz w:val="17"/>
                <w:szCs w:val="17"/>
                <w:color w:val="auto"/>
              </w:rPr>
            </w:pPr>
          </w:p>
        </w:tc>
      </w:tr>
      <w:tr>
        <w:trPr>
          <w:trHeight w:val="203"/>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shd w:val="clear" w:color="auto" w:fill="EEEEEE"/>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40" w:type="dxa"/>
            <w:vAlign w:val="bottom"/>
            <w:shd w:val="clear" w:color="auto" w:fill="EEEEEE"/>
          </w:tcPr>
          <w:p>
            <w:pPr>
              <w:spacing w:after="0"/>
              <w:rPr>
                <w:sz w:val="17"/>
                <w:szCs w:val="17"/>
                <w:color w:val="auto"/>
              </w:rPr>
            </w:pPr>
          </w:p>
        </w:tc>
        <w:tc>
          <w:tcPr>
            <w:tcW w:w="1140" w:type="dxa"/>
            <w:vAlign w:val="bottom"/>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4,746</w:t>
            </w: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44,679</w:t>
            </w:r>
          </w:p>
        </w:tc>
      </w:tr>
      <w:tr>
        <w:trPr>
          <w:trHeight w:val="210"/>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24,297</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21,671</w:t>
            </w: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10"/>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unconsolidated joint venture (1)</w:t>
            </w:r>
          </w:p>
        </w:tc>
        <w:tc>
          <w:tcPr>
            <w:tcW w:w="1080" w:type="dxa"/>
            <w:vAlign w:val="bottom"/>
            <w:tcBorders>
              <w:bottom w:val="single" w:sz="8" w:color="auto"/>
            </w:tcBorders>
            <w:shd w:val="clear" w:color="auto" w:fill="EEEEEE"/>
          </w:tcPr>
          <w:p>
            <w:pPr>
              <w:spacing w:after="0"/>
              <w:rPr>
                <w:sz w:val="18"/>
                <w:szCs w:val="18"/>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90"/>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73,867</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71,740</w:t>
            </w:r>
          </w:p>
        </w:tc>
      </w:tr>
      <w:tr>
        <w:trPr>
          <w:trHeight w:val="209"/>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property, net</w:t>
            </w:r>
          </w:p>
        </w:tc>
        <w:tc>
          <w:tcPr>
            <w:tcW w:w="1080" w:type="dxa"/>
            <w:vAlign w:val="bottom"/>
            <w:tcBorders>
              <w:bottom w:val="single" w:sz="8" w:color="auto"/>
            </w:tcBorders>
            <w:shd w:val="clear" w:color="auto" w:fill="EEEEEE"/>
          </w:tcPr>
          <w:p>
            <w:pPr>
              <w:spacing w:after="0"/>
              <w:rPr>
                <w:sz w:val="18"/>
                <w:szCs w:val="18"/>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40" w:type="dxa"/>
            <w:vAlign w:val="bottom"/>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4"/>
                <w:szCs w:val="14"/>
                <w:b w:val="1"/>
                <w:bCs w:val="1"/>
                <w:i w:val="1"/>
                <w:iCs w:val="1"/>
                <w:color w:val="auto"/>
              </w:rPr>
              <w:t>re</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72,546</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71,740</w:t>
            </w:r>
          </w:p>
        </w:tc>
      </w:tr>
      <w:tr>
        <w:trPr>
          <w:trHeight w:val="209"/>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Pre-opening costs (2)</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6,434</w:t>
            </w:r>
          </w:p>
        </w:tc>
      </w:tr>
      <w:tr>
        <w:trPr>
          <w:trHeight w:val="196"/>
        </w:trPr>
        <w:tc>
          <w:tcPr>
            <w:tcW w:w="780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Other expenses (3)</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Borders>
              <w:bottom w:val="single" w:sz="8" w:color="EEEEEE"/>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203"/>
        </w:trPr>
        <w:tc>
          <w:tcPr>
            <w:tcW w:w="78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80" w:type="dxa"/>
            <w:vAlign w:val="bottom"/>
            <w:shd w:val="clear" w:color="auto" w:fill="EEEEEE"/>
          </w:tcPr>
          <w:p>
            <w:pPr>
              <w:spacing w:after="0"/>
              <w:rPr>
                <w:sz w:val="17"/>
                <w:szCs w:val="17"/>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77,594</w:t>
            </w:r>
          </w:p>
        </w:tc>
        <w:tc>
          <w:tcPr>
            <w:tcW w:w="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79,594</w:t>
            </w: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w:t>
            </w:r>
          </w:p>
        </w:tc>
      </w:tr>
      <w:tr>
        <w:trPr>
          <w:trHeight w:val="210"/>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Other corporate adjustments</w:t>
            </w:r>
          </w:p>
        </w:tc>
        <w:tc>
          <w:tcPr>
            <w:tcW w:w="1080" w:type="dxa"/>
            <w:vAlign w:val="bottom"/>
            <w:tcBorders>
              <w:bottom w:val="single" w:sz="8" w:color="auto"/>
            </w:tcBorders>
            <w:shd w:val="clear" w:color="auto" w:fill="EEEEEE"/>
          </w:tcPr>
          <w:p>
            <w:pPr>
              <w:spacing w:after="0"/>
              <w:rPr>
                <w:sz w:val="18"/>
                <w:szCs w:val="18"/>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90"/>
        </w:trPr>
        <w:tc>
          <w:tcPr>
            <w:tcW w:w="7800" w:type="dxa"/>
            <w:vAlign w:val="bottom"/>
            <w:tcBorders>
              <w:bottom w:val="single" w:sz="8" w:color="EEEEEE"/>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Consolidated Hotel EBITDA</w:t>
            </w: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85,911</w:t>
            </w:r>
          </w:p>
        </w:tc>
        <w:tc>
          <w:tcPr>
            <w:tcW w:w="140" w:type="dxa"/>
            <w:vAlign w:val="bottom"/>
            <w:tcBorders>
              <w:bottom w:val="single" w:sz="8" w:color="EEEEEE"/>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88,931</w:t>
            </w:r>
          </w:p>
        </w:tc>
      </w:tr>
      <w:tr>
        <w:trPr>
          <w:trHeight w:val="202"/>
        </w:trPr>
        <w:tc>
          <w:tcPr>
            <w:tcW w:w="78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sold hotels</w:t>
            </w:r>
          </w:p>
        </w:tc>
        <w:tc>
          <w:tcPr>
            <w:tcW w:w="1080" w:type="dxa"/>
            <w:vAlign w:val="bottom"/>
            <w:shd w:val="clear" w:color="auto" w:fill="EEEEEE"/>
          </w:tcPr>
          <w:p>
            <w:pPr>
              <w:spacing w:after="0"/>
              <w:rPr>
                <w:sz w:val="17"/>
                <w:szCs w:val="17"/>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acquired hotels</w:t>
            </w:r>
          </w:p>
        </w:tc>
        <w:tc>
          <w:tcPr>
            <w:tcW w:w="10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28"/>
        </w:trPr>
        <w:tc>
          <w:tcPr>
            <w:tcW w:w="780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Comparable Hotel EBITDA</w:t>
            </w:r>
          </w:p>
        </w:tc>
        <w:tc>
          <w:tcPr>
            <w:tcW w:w="1080" w:type="dxa"/>
            <w:vAlign w:val="bottom"/>
            <w:tcBorders>
              <w:top w:val="single" w:sz="8" w:color="auto"/>
              <w:bottom w:val="single" w:sz="8" w:color="auto"/>
            </w:tcBorders>
            <w:shd w:val="clear" w:color="auto" w:fill="EEEEEE"/>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85,297</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88,337</w:t>
            </w:r>
          </w:p>
        </w:tc>
      </w:tr>
      <w:tr>
        <w:trPr>
          <w:trHeight w:val="20"/>
        </w:trPr>
        <w:tc>
          <w:tcPr>
            <w:tcW w:w="78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bottom w:val="single" w:sz="8" w:color="auto"/>
            </w:tcBorders>
          </w:tcPr>
          <w:p>
            <w:pPr>
              <w:spacing w:after="0" w:line="20" w:lineRule="exact"/>
              <w:rPr>
                <w:sz w:val="1"/>
                <w:szCs w:val="1"/>
                <w:color w:val="auto"/>
              </w:rPr>
            </w:pPr>
          </w:p>
        </w:tc>
        <w:tc>
          <w:tcPr>
            <w:tcW w:w="560" w:type="dxa"/>
            <w:vAlign w:val="bottom"/>
            <w:tcBorders>
              <w:top w:val="single" w:sz="8" w:color="EEEEEE"/>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bottom w:val="single" w:sz="8" w:color="auto"/>
            </w:tcBorders>
          </w:tcPr>
          <w:p>
            <w:pPr>
              <w:spacing w:after="0" w:line="20" w:lineRule="exact"/>
              <w:rPr>
                <w:sz w:val="1"/>
                <w:szCs w:val="1"/>
                <w:color w:val="auto"/>
              </w:rPr>
            </w:pPr>
          </w:p>
        </w:tc>
        <w:tc>
          <w:tcPr>
            <w:tcW w:w="480" w:type="dxa"/>
            <w:vAlign w:val="bottom"/>
            <w:tcBorders>
              <w:top w:val="single" w:sz="8" w:color="EEEEE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-2665730</wp:posOffset>
            </wp:positionV>
            <wp:extent cx="2160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19"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ownership interest in the interest, depreciation, and amortization expense of the unconsolidated joint venture.</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the brand conversions of certain hotel properties prior to opening.</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and income outside of the normal course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2" w:name="page13"/>
    <w:bookmarkEnd w:id="1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margin data)</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EBITDA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shd w:val="clear" w:color="auto" w:fill="162835"/>
          </w:tcPr>
          <w:p>
            <w:pPr>
              <w:spacing w:after="0"/>
              <w:rPr>
                <w:sz w:val="17"/>
                <w:szCs w:val="17"/>
                <w:color w:val="auto"/>
              </w:rPr>
            </w:pPr>
          </w:p>
        </w:tc>
        <w:tc>
          <w:tcPr>
            <w:tcW w:w="3580" w:type="dxa"/>
            <w:vAlign w:val="bottom"/>
            <w:gridSpan w:val="5"/>
            <w:shd w:val="clear" w:color="auto" w:fill="162835"/>
          </w:tcPr>
          <w:p>
            <w:pPr>
              <w:jc w:val="right"/>
              <w:ind w:right="528"/>
              <w:spacing w:after="0"/>
              <w:rPr>
                <w:sz w:val="20"/>
                <w:szCs w:val="20"/>
                <w:color w:val="auto"/>
              </w:rPr>
            </w:pPr>
            <w:r>
              <w:rPr>
                <w:rFonts w:ascii="Times New Roman" w:cs="Times New Roman" w:eastAsia="Times New Roman" w:hAnsi="Times New Roman"/>
                <w:sz w:val="14"/>
                <w:szCs w:val="14"/>
                <w:b w:val="1"/>
                <w:bCs w:val="1"/>
                <w:color w:val="FFFFFF"/>
              </w:rPr>
              <w:t>For the three months ended March 31,</w:t>
            </w:r>
          </w:p>
        </w:tc>
      </w:tr>
      <w:tr>
        <w:trPr>
          <w:trHeight w:val="196"/>
        </w:trPr>
        <w:tc>
          <w:tcPr>
            <w:tcW w:w="7600" w:type="dxa"/>
            <w:vAlign w:val="bottom"/>
            <w:tcBorders>
              <w:bottom w:val="single" w:sz="8" w:color="162835"/>
            </w:tcBorders>
            <w:shd w:val="clear" w:color="auto" w:fill="162835"/>
          </w:tcPr>
          <w:p>
            <w:pPr>
              <w:spacing w:after="0"/>
              <w:rPr>
                <w:sz w:val="17"/>
                <w:szCs w:val="17"/>
                <w:color w:val="auto"/>
              </w:rPr>
            </w:pPr>
          </w:p>
        </w:tc>
        <w:tc>
          <w:tcPr>
            <w:tcW w:w="1060" w:type="dxa"/>
            <w:vAlign w:val="bottom"/>
            <w:tcBorders>
              <w:bottom w:val="single" w:sz="8" w:color="162835"/>
            </w:tcBorders>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680" w:type="dxa"/>
            <w:vAlign w:val="bottom"/>
            <w:tcBorders>
              <w:bottom w:val="single" w:sz="8" w:color="162835"/>
            </w:tcBorders>
            <w:shd w:val="clear" w:color="auto" w:fill="162835"/>
          </w:tcPr>
          <w:p>
            <w:pPr>
              <w:spacing w:after="0"/>
              <w:rPr>
                <w:sz w:val="17"/>
                <w:szCs w:val="17"/>
                <w:color w:val="auto"/>
              </w:rPr>
            </w:pPr>
          </w:p>
        </w:tc>
        <w:tc>
          <w:tcPr>
            <w:tcW w:w="100" w:type="dxa"/>
            <w:vAlign w:val="bottom"/>
            <w:tcBorders>
              <w:bottom w:val="single" w:sz="8" w:color="162835"/>
            </w:tcBorders>
            <w:shd w:val="clear" w:color="auto" w:fill="162835"/>
          </w:tcPr>
          <w:p>
            <w:pPr>
              <w:spacing w:after="0"/>
              <w:rPr>
                <w:sz w:val="17"/>
                <w:szCs w:val="17"/>
                <w:color w:val="auto"/>
              </w:rPr>
            </w:pPr>
          </w:p>
        </w:tc>
        <w:tc>
          <w:tcPr>
            <w:tcW w:w="420" w:type="dxa"/>
            <w:vAlign w:val="bottom"/>
            <w:tcBorders>
              <w:bottom w:val="single" w:sz="8" w:color="162835"/>
            </w:tcBorders>
            <w:shd w:val="clear" w:color="auto" w:fill="162835"/>
          </w:tcPr>
          <w:p>
            <w:pPr>
              <w:spacing w:after="0"/>
              <w:rPr>
                <w:sz w:val="17"/>
                <w:szCs w:val="17"/>
                <w:color w:val="auto"/>
              </w:rPr>
            </w:pPr>
          </w:p>
        </w:tc>
        <w:tc>
          <w:tcPr>
            <w:tcW w:w="1320" w:type="dxa"/>
            <w:vAlign w:val="bottom"/>
            <w:tcBorders>
              <w:bottom w:val="single" w:sz="8" w:color="162835"/>
            </w:tcBorders>
            <w:shd w:val="clear" w:color="auto" w:fill="162835"/>
          </w:tcPr>
          <w:p>
            <w:pPr>
              <w:jc w:val="right"/>
              <w:ind w:right="648"/>
              <w:spacing w:after="0"/>
              <w:rPr>
                <w:sz w:val="20"/>
                <w:szCs w:val="20"/>
                <w:color w:val="auto"/>
              </w:rPr>
            </w:pPr>
            <w:r>
              <w:rPr>
                <w:rFonts w:ascii="Times New Roman" w:cs="Times New Roman" w:eastAsia="Times New Roman" w:hAnsi="Times New Roman"/>
                <w:sz w:val="14"/>
                <w:szCs w:val="14"/>
                <w:b w:val="1"/>
                <w:bCs w:val="1"/>
                <w:color w:val="FFFFFF"/>
              </w:rPr>
              <w:t>2024</w:t>
            </w:r>
          </w:p>
        </w:tc>
      </w:tr>
      <w:tr>
        <w:trPr>
          <w:trHeight w:val="203"/>
        </w:trPr>
        <w:tc>
          <w:tcPr>
            <w:tcW w:w="7600" w:type="dxa"/>
            <w:vAlign w:val="bottom"/>
            <w:shd w:val="clear" w:color="auto" w:fill="F4F4F4"/>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60" w:type="dxa"/>
            <w:vAlign w:val="bottom"/>
            <w:shd w:val="clear" w:color="auto" w:fill="F4F4F4"/>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4F4F4"/>
          </w:tcPr>
          <w:p>
            <w:pPr>
              <w:jc w:val="right"/>
              <w:ind w:right="108"/>
              <w:spacing w:after="0"/>
              <w:rPr>
                <w:sz w:val="20"/>
                <w:szCs w:val="20"/>
                <w:color w:val="auto"/>
              </w:rPr>
            </w:pPr>
            <w:r>
              <w:rPr>
                <w:rFonts w:ascii="Times New Roman" w:cs="Times New Roman" w:eastAsia="Times New Roman" w:hAnsi="Times New Roman"/>
                <w:sz w:val="14"/>
                <w:szCs w:val="14"/>
                <w:color w:val="auto"/>
              </w:rPr>
              <w:t>328,119</w:t>
            </w:r>
          </w:p>
        </w:tc>
        <w:tc>
          <w:tcPr>
            <w:tcW w:w="100" w:type="dxa"/>
            <w:vAlign w:val="bottom"/>
            <w:shd w:val="clear" w:color="auto" w:fill="F4F4F4"/>
          </w:tcPr>
          <w:p>
            <w:pPr>
              <w:spacing w:after="0"/>
              <w:rPr>
                <w:sz w:val="17"/>
                <w:szCs w:val="17"/>
                <w:color w:val="auto"/>
              </w:rPr>
            </w:pPr>
          </w:p>
        </w:tc>
        <w:tc>
          <w:tcPr>
            <w:tcW w:w="420" w:type="dxa"/>
            <w:vAlign w:val="bottom"/>
            <w:shd w:val="clear" w:color="auto" w:fill="F4F4F4"/>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F4F4F4"/>
          </w:tcPr>
          <w:p>
            <w:pPr>
              <w:jc w:val="right"/>
              <w:ind w:right="128"/>
              <w:spacing w:after="0"/>
              <w:rPr>
                <w:sz w:val="20"/>
                <w:szCs w:val="20"/>
                <w:color w:val="auto"/>
              </w:rPr>
            </w:pPr>
            <w:r>
              <w:rPr>
                <w:rFonts w:ascii="Times New Roman" w:cs="Times New Roman" w:eastAsia="Times New Roman" w:hAnsi="Times New Roman"/>
                <w:sz w:val="14"/>
                <w:szCs w:val="14"/>
                <w:color w:val="auto"/>
              </w:rPr>
              <w:t>324,410</w:t>
            </w:r>
          </w:p>
        </w:tc>
      </w:tr>
      <w:tr>
        <w:trPr>
          <w:trHeight w:val="19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adjustments - revenue from sold hotels</w:t>
            </w:r>
          </w:p>
        </w:tc>
        <w:tc>
          <w:tcPr>
            <w:tcW w:w="106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(2,890)</w:t>
            </w:r>
          </w:p>
        </w:tc>
      </w:tr>
      <w:tr>
        <w:trPr>
          <w:trHeight w:val="210"/>
        </w:trPr>
        <w:tc>
          <w:tcPr>
            <w:tcW w:w="7600" w:type="dxa"/>
            <w:vAlign w:val="bottom"/>
            <w:shd w:val="clear" w:color="auto" w:fill="F4F4F4"/>
          </w:tcPr>
          <w:p>
            <w:pPr>
              <w:ind w:left="20"/>
              <w:spacing w:after="0"/>
              <w:rPr>
                <w:sz w:val="20"/>
                <w:szCs w:val="20"/>
                <w:color w:val="auto"/>
              </w:rPr>
            </w:pPr>
            <w:r>
              <w:rPr>
                <w:rFonts w:ascii="Times New Roman" w:cs="Times New Roman" w:eastAsia="Times New Roman" w:hAnsi="Times New Roman"/>
                <w:sz w:val="14"/>
                <w:szCs w:val="14"/>
                <w:color w:val="auto"/>
              </w:rPr>
              <w:t>Comparable adjustments - revenue from prior ownership of acquired hotels</w:t>
            </w:r>
          </w:p>
        </w:tc>
        <w:tc>
          <w:tcPr>
            <w:tcW w:w="1060" w:type="dxa"/>
            <w:vAlign w:val="bottom"/>
            <w:shd w:val="clear" w:color="auto" w:fill="F4F4F4"/>
          </w:tcPr>
          <w:p>
            <w:pPr>
              <w:spacing w:after="0"/>
              <w:rPr>
                <w:sz w:val="18"/>
                <w:szCs w:val="18"/>
                <w:color w:val="auto"/>
              </w:rPr>
            </w:pPr>
          </w:p>
        </w:tc>
        <w:tc>
          <w:tcPr>
            <w:tcW w:w="780" w:type="dxa"/>
            <w:vAlign w:val="bottom"/>
            <w:gridSpan w:val="2"/>
            <w:shd w:val="clear" w:color="auto" w:fill="F4F4F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F4F4F4"/>
          </w:tcPr>
          <w:p>
            <w:pPr>
              <w:spacing w:after="0"/>
              <w:rPr>
                <w:sz w:val="18"/>
                <w:szCs w:val="18"/>
                <w:color w:val="auto"/>
              </w:rPr>
            </w:pPr>
          </w:p>
        </w:tc>
        <w:tc>
          <w:tcPr>
            <w:tcW w:w="1320" w:type="dxa"/>
            <w:vAlign w:val="bottom"/>
            <w:shd w:val="clear" w:color="auto" w:fill="F4F4F4"/>
          </w:tcPr>
          <w:p>
            <w:pPr>
              <w:jc w:val="right"/>
              <w:ind w:right="128"/>
              <w:spacing w:after="0"/>
              <w:rPr>
                <w:sz w:val="20"/>
                <w:szCs w:val="20"/>
                <w:color w:val="auto"/>
              </w:rPr>
            </w:pPr>
            <w:r>
              <w:rPr>
                <w:rFonts w:ascii="Times New Roman" w:cs="Times New Roman" w:eastAsia="Times New Roman" w:hAnsi="Times New Roman"/>
                <w:sz w:val="14"/>
                <w:szCs w:val="14"/>
                <w:color w:val="auto"/>
              </w:rPr>
              <w:t>1,728</w:t>
            </w:r>
          </w:p>
        </w:tc>
      </w:tr>
      <w:tr>
        <w:trPr>
          <w:trHeight w:val="196"/>
        </w:trPr>
        <w:tc>
          <w:tcPr>
            <w:tcW w:w="7600" w:type="dxa"/>
            <w:vAlign w:val="bottom"/>
            <w:tcBorders>
              <w:bottom w:val="single" w:sz="8" w:color="F4F4F4"/>
            </w:tcBorders>
          </w:tcPr>
          <w:p>
            <w:pPr>
              <w:ind w:left="20"/>
              <w:spacing w:after="0"/>
              <w:rPr>
                <w:sz w:val="20"/>
                <w:szCs w:val="20"/>
                <w:color w:val="auto"/>
              </w:rPr>
            </w:pPr>
            <w:r>
              <w:rPr>
                <w:rFonts w:ascii="Times New Roman" w:cs="Times New Roman" w:eastAsia="Times New Roman" w:hAnsi="Times New Roman"/>
                <w:sz w:val="14"/>
                <w:szCs w:val="14"/>
                <w:color w:val="auto"/>
              </w:rPr>
              <w:t>Other corporate adjustments / non-hotel revenue</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F4F4F4"/>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r>
      <w:tr>
        <w:trPr>
          <w:trHeight w:val="228"/>
        </w:trPr>
        <w:tc>
          <w:tcPr>
            <w:tcW w:w="7600" w:type="dxa"/>
            <w:vAlign w:val="bottom"/>
            <w:tcBorders>
              <w:bottom w:val="single" w:sz="8" w:color="F4F4F4"/>
            </w:tcBorders>
            <w:shd w:val="clear" w:color="auto" w:fill="F4F4F4"/>
          </w:tcPr>
          <w:p>
            <w:pPr>
              <w:ind w:left="20"/>
              <w:spacing w:after="0"/>
              <w:rPr>
                <w:sz w:val="20"/>
                <w:szCs w:val="20"/>
                <w:color w:val="auto"/>
              </w:rPr>
            </w:pPr>
            <w:r>
              <w:rPr>
                <w:rFonts w:ascii="Times New Roman" w:cs="Times New Roman" w:eastAsia="Times New Roman" w:hAnsi="Times New Roman"/>
                <w:sz w:val="14"/>
                <w:szCs w:val="14"/>
                <w:b w:val="1"/>
                <w:bCs w:val="1"/>
                <w:color w:val="auto"/>
              </w:rPr>
              <w:t>Comparable Hotel Revenue</w:t>
            </w:r>
          </w:p>
        </w:tc>
        <w:tc>
          <w:tcPr>
            <w:tcW w:w="1060" w:type="dxa"/>
            <w:vAlign w:val="bottom"/>
            <w:tcBorders>
              <w:bottom w:val="single" w:sz="8" w:color="auto"/>
            </w:tcBorders>
            <w:shd w:val="clear" w:color="auto" w:fill="F4F4F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F4F4F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327,000</w:t>
            </w:r>
          </w:p>
        </w:tc>
        <w:tc>
          <w:tcPr>
            <w:tcW w:w="100" w:type="dxa"/>
            <w:vAlign w:val="bottom"/>
            <w:tcBorders>
              <w:bottom w:val="single" w:sz="8" w:color="F4F4F4"/>
            </w:tcBorders>
            <w:shd w:val="clear" w:color="auto" w:fill="F4F4F4"/>
          </w:tcPr>
          <w:p>
            <w:pPr>
              <w:spacing w:after="0"/>
              <w:rPr>
                <w:sz w:val="19"/>
                <w:szCs w:val="19"/>
                <w:color w:val="auto"/>
              </w:rPr>
            </w:pPr>
          </w:p>
        </w:tc>
        <w:tc>
          <w:tcPr>
            <w:tcW w:w="420" w:type="dxa"/>
            <w:vAlign w:val="bottom"/>
            <w:tcBorders>
              <w:bottom w:val="single" w:sz="8" w:color="auto"/>
            </w:tcBorders>
            <w:shd w:val="clear" w:color="auto" w:fill="F4F4F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F4F4F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323,230</w:t>
            </w:r>
          </w:p>
        </w:tc>
      </w:tr>
      <w:tr>
        <w:trPr>
          <w:trHeight w:val="20"/>
        </w:trPr>
        <w:tc>
          <w:tcPr>
            <w:tcW w:w="7600" w:type="dxa"/>
            <w:vAlign w:val="bottom"/>
            <w:tcBorders>
              <w:top w:val="single" w:sz="8" w:color="F4F4F4"/>
            </w:tcBorders>
          </w:tcPr>
          <w:p>
            <w:pPr>
              <w:spacing w:after="0" w:line="20" w:lineRule="exact"/>
              <w:rPr>
                <w:sz w:val="1"/>
                <w:szCs w:val="1"/>
                <w:color w:val="auto"/>
              </w:rPr>
            </w:pPr>
          </w:p>
        </w:tc>
        <w:tc>
          <w:tcPr>
            <w:tcW w:w="1060" w:type="dxa"/>
            <w:vAlign w:val="bottom"/>
            <w:tcBorders>
              <w:top w:val="single" w:sz="8" w:color="F4F4F4"/>
              <w:bottom w:val="single" w:sz="8" w:color="auto"/>
            </w:tcBorders>
          </w:tcPr>
          <w:p>
            <w:pPr>
              <w:spacing w:after="0" w:line="20" w:lineRule="exact"/>
              <w:rPr>
                <w:sz w:val="1"/>
                <w:szCs w:val="1"/>
                <w:color w:val="auto"/>
              </w:rPr>
            </w:pPr>
          </w:p>
        </w:tc>
        <w:tc>
          <w:tcPr>
            <w:tcW w:w="680" w:type="dxa"/>
            <w:vAlign w:val="bottom"/>
            <w:tcBorders>
              <w:top w:val="single" w:sz="8" w:color="F4F4F4"/>
              <w:bottom w:val="single" w:sz="8" w:color="auto"/>
            </w:tcBorders>
          </w:tcPr>
          <w:p>
            <w:pPr>
              <w:spacing w:after="0" w:line="20" w:lineRule="exact"/>
              <w:rPr>
                <w:sz w:val="1"/>
                <w:szCs w:val="1"/>
                <w:color w:val="auto"/>
              </w:rPr>
            </w:pPr>
          </w:p>
        </w:tc>
        <w:tc>
          <w:tcPr>
            <w:tcW w:w="100" w:type="dxa"/>
            <w:vAlign w:val="bottom"/>
            <w:tcBorders>
              <w:top w:val="single" w:sz="8" w:color="F4F4F4"/>
            </w:tcBorders>
          </w:tcPr>
          <w:p>
            <w:pPr>
              <w:spacing w:after="0" w:line="20" w:lineRule="exact"/>
              <w:rPr>
                <w:sz w:val="1"/>
                <w:szCs w:val="1"/>
                <w:color w:val="auto"/>
              </w:rPr>
            </w:pPr>
          </w:p>
        </w:tc>
        <w:tc>
          <w:tcPr>
            <w:tcW w:w="420" w:type="dxa"/>
            <w:vAlign w:val="bottom"/>
            <w:tcBorders>
              <w:top w:val="single" w:sz="8" w:color="F4F4F4"/>
              <w:bottom w:val="single" w:sz="8" w:color="auto"/>
            </w:tcBorders>
          </w:tcPr>
          <w:p>
            <w:pPr>
              <w:spacing w:after="0" w:line="20" w:lineRule="exact"/>
              <w:rPr>
                <w:sz w:val="1"/>
                <w:szCs w:val="1"/>
                <w:color w:val="auto"/>
              </w:rPr>
            </w:pPr>
          </w:p>
        </w:tc>
        <w:tc>
          <w:tcPr>
            <w:tcW w:w="1320" w:type="dxa"/>
            <w:vAlign w:val="bottom"/>
            <w:tcBorders>
              <w:top w:val="single" w:sz="8" w:color="F4F4F4"/>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7600" w:type="dxa"/>
            <w:vAlign w:val="bottom"/>
            <w:tcBorders>
              <w:bottom w:val="single" w:sz="8" w:color="F4F4F4"/>
            </w:tcBorders>
            <w:shd w:val="clear" w:color="auto" w:fill="F4F4F4"/>
          </w:tcPr>
          <w:p>
            <w:pPr>
              <w:ind w:left="20"/>
              <w:spacing w:after="0"/>
              <w:rPr>
                <w:sz w:val="20"/>
                <w:szCs w:val="20"/>
                <w:color w:val="auto"/>
              </w:rPr>
            </w:pPr>
            <w:r>
              <w:rPr>
                <w:rFonts w:ascii="Times New Roman" w:cs="Times New Roman" w:eastAsia="Times New Roman" w:hAnsi="Times New Roman"/>
                <w:sz w:val="14"/>
                <w:szCs w:val="14"/>
                <w:b w:val="1"/>
                <w:bCs w:val="1"/>
                <w:color w:val="auto"/>
              </w:rPr>
              <w:t>Comparable Hotel EBITDA</w:t>
            </w:r>
          </w:p>
        </w:tc>
        <w:tc>
          <w:tcPr>
            <w:tcW w:w="1060" w:type="dxa"/>
            <w:vAlign w:val="bottom"/>
            <w:tcBorders>
              <w:bottom w:val="single" w:sz="8" w:color="auto"/>
            </w:tcBorders>
            <w:shd w:val="clear" w:color="auto" w:fill="F4F4F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F4F4F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85,297</w:t>
            </w:r>
          </w:p>
        </w:tc>
        <w:tc>
          <w:tcPr>
            <w:tcW w:w="100" w:type="dxa"/>
            <w:vAlign w:val="bottom"/>
            <w:tcBorders>
              <w:bottom w:val="single" w:sz="8" w:color="F4F4F4"/>
            </w:tcBorders>
            <w:shd w:val="clear" w:color="auto" w:fill="F4F4F4"/>
          </w:tcPr>
          <w:p>
            <w:pPr>
              <w:spacing w:after="0"/>
              <w:rPr>
                <w:sz w:val="19"/>
                <w:szCs w:val="19"/>
                <w:color w:val="auto"/>
              </w:rPr>
            </w:pPr>
          </w:p>
        </w:tc>
        <w:tc>
          <w:tcPr>
            <w:tcW w:w="420" w:type="dxa"/>
            <w:vAlign w:val="bottom"/>
            <w:tcBorders>
              <w:bottom w:val="single" w:sz="8" w:color="auto"/>
            </w:tcBorders>
            <w:shd w:val="clear" w:color="auto" w:fill="F4F4F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F4F4F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88,337</w:t>
            </w:r>
          </w:p>
        </w:tc>
      </w:tr>
      <w:tr>
        <w:trPr>
          <w:trHeight w:val="20"/>
        </w:trPr>
        <w:tc>
          <w:tcPr>
            <w:tcW w:w="7600" w:type="dxa"/>
            <w:vAlign w:val="bottom"/>
            <w:tcBorders>
              <w:top w:val="single" w:sz="8" w:color="F4F4F4"/>
            </w:tcBorders>
          </w:tcPr>
          <w:p>
            <w:pPr>
              <w:spacing w:after="0" w:line="20" w:lineRule="exact"/>
              <w:rPr>
                <w:sz w:val="1"/>
                <w:szCs w:val="1"/>
                <w:color w:val="auto"/>
              </w:rPr>
            </w:pPr>
          </w:p>
        </w:tc>
        <w:tc>
          <w:tcPr>
            <w:tcW w:w="1060" w:type="dxa"/>
            <w:vAlign w:val="bottom"/>
            <w:tcBorders>
              <w:top w:val="single" w:sz="8" w:color="F4F4F4"/>
              <w:bottom w:val="single" w:sz="8" w:color="auto"/>
            </w:tcBorders>
          </w:tcPr>
          <w:p>
            <w:pPr>
              <w:spacing w:after="0" w:line="20" w:lineRule="exact"/>
              <w:rPr>
                <w:sz w:val="1"/>
                <w:szCs w:val="1"/>
                <w:color w:val="auto"/>
              </w:rPr>
            </w:pPr>
          </w:p>
        </w:tc>
        <w:tc>
          <w:tcPr>
            <w:tcW w:w="680" w:type="dxa"/>
            <w:vAlign w:val="bottom"/>
            <w:tcBorders>
              <w:top w:val="single" w:sz="8" w:color="F4F4F4"/>
              <w:bottom w:val="single" w:sz="8" w:color="auto"/>
            </w:tcBorders>
          </w:tcPr>
          <w:p>
            <w:pPr>
              <w:spacing w:after="0" w:line="20" w:lineRule="exact"/>
              <w:rPr>
                <w:sz w:val="1"/>
                <w:szCs w:val="1"/>
                <w:color w:val="auto"/>
              </w:rPr>
            </w:pPr>
          </w:p>
        </w:tc>
        <w:tc>
          <w:tcPr>
            <w:tcW w:w="100" w:type="dxa"/>
            <w:vAlign w:val="bottom"/>
            <w:tcBorders>
              <w:top w:val="single" w:sz="8" w:color="F4F4F4"/>
            </w:tcBorders>
          </w:tcPr>
          <w:p>
            <w:pPr>
              <w:spacing w:after="0" w:line="20" w:lineRule="exact"/>
              <w:rPr>
                <w:sz w:val="1"/>
                <w:szCs w:val="1"/>
                <w:color w:val="auto"/>
              </w:rPr>
            </w:pPr>
          </w:p>
        </w:tc>
        <w:tc>
          <w:tcPr>
            <w:tcW w:w="420" w:type="dxa"/>
            <w:vAlign w:val="bottom"/>
            <w:tcBorders>
              <w:top w:val="single" w:sz="8" w:color="F4F4F4"/>
              <w:bottom w:val="single" w:sz="8" w:color="auto"/>
            </w:tcBorders>
          </w:tcPr>
          <w:p>
            <w:pPr>
              <w:spacing w:after="0" w:line="20" w:lineRule="exact"/>
              <w:rPr>
                <w:sz w:val="1"/>
                <w:szCs w:val="1"/>
                <w:color w:val="auto"/>
              </w:rPr>
            </w:pPr>
          </w:p>
        </w:tc>
        <w:tc>
          <w:tcPr>
            <w:tcW w:w="1320" w:type="dxa"/>
            <w:vAlign w:val="bottom"/>
            <w:tcBorders>
              <w:top w:val="single" w:sz="8" w:color="F4F4F4"/>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7600" w:type="dxa"/>
            <w:vAlign w:val="bottom"/>
            <w:shd w:val="clear" w:color="auto" w:fill="F4F4F4"/>
          </w:tcPr>
          <w:p>
            <w:pPr>
              <w:ind w:left="20"/>
              <w:spacing w:after="0"/>
              <w:rPr>
                <w:sz w:val="20"/>
                <w:szCs w:val="20"/>
                <w:color w:val="auto"/>
              </w:rPr>
            </w:pPr>
            <w:r>
              <w:rPr>
                <w:rFonts w:ascii="Times New Roman" w:cs="Times New Roman" w:eastAsia="Times New Roman" w:hAnsi="Times New Roman"/>
                <w:sz w:val="14"/>
                <w:szCs w:val="14"/>
                <w:b w:val="1"/>
                <w:bCs w:val="1"/>
                <w:color w:val="auto"/>
              </w:rPr>
              <w:t>Comparable Hotel EBITDA Margin</w:t>
            </w:r>
          </w:p>
        </w:tc>
        <w:tc>
          <w:tcPr>
            <w:tcW w:w="1060" w:type="dxa"/>
            <w:vAlign w:val="bottom"/>
            <w:shd w:val="clear" w:color="auto" w:fill="F4F4F4"/>
          </w:tcPr>
          <w:p>
            <w:pPr>
              <w:spacing w:after="0"/>
              <w:rPr>
                <w:sz w:val="17"/>
                <w:szCs w:val="17"/>
                <w:color w:val="auto"/>
              </w:rPr>
            </w:pPr>
          </w:p>
        </w:tc>
        <w:tc>
          <w:tcPr>
            <w:tcW w:w="6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4"/>
                <w:szCs w:val="14"/>
                <w:b w:val="1"/>
                <w:bCs w:val="1"/>
                <w:color w:val="auto"/>
              </w:rPr>
              <w:t>26.1 %</w:t>
            </w:r>
          </w:p>
        </w:tc>
        <w:tc>
          <w:tcPr>
            <w:tcW w:w="100" w:type="dxa"/>
            <w:vAlign w:val="bottom"/>
            <w:shd w:val="clear" w:color="auto" w:fill="F4F4F4"/>
          </w:tcPr>
          <w:p>
            <w:pPr>
              <w:spacing w:after="0"/>
              <w:rPr>
                <w:sz w:val="17"/>
                <w:szCs w:val="17"/>
                <w:color w:val="auto"/>
              </w:rPr>
            </w:pPr>
          </w:p>
        </w:tc>
        <w:tc>
          <w:tcPr>
            <w:tcW w:w="420" w:type="dxa"/>
            <w:vAlign w:val="bottom"/>
            <w:shd w:val="clear" w:color="auto" w:fill="F4F4F4"/>
          </w:tcPr>
          <w:p>
            <w:pPr>
              <w:spacing w:after="0"/>
              <w:rPr>
                <w:sz w:val="17"/>
                <w:szCs w:val="17"/>
                <w:color w:val="auto"/>
              </w:rPr>
            </w:pPr>
          </w:p>
        </w:tc>
        <w:tc>
          <w:tcPr>
            <w:tcW w:w="132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4"/>
                <w:szCs w:val="14"/>
                <w:b w:val="1"/>
                <w:bCs w:val="1"/>
                <w:color w:val="auto"/>
              </w:rPr>
              <w:t>27.3 %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-1422400</wp:posOffset>
            </wp:positionV>
            <wp:extent cx="2271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180"/>
          </w:cols>
          <w:pgMar w:left="320" w:top="1440" w:right="399" w:bottom="1440" w:gutter="0" w:footer="0" w:header="0"/>
          <w:type w:val="continuous"/>
        </w:sectPr>
      </w:pPr>
    </w:p>
    <w:bookmarkStart w:id="13" w:name="page14"/>
    <w:bookmarkEnd w:id="13"/>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Non-GAAP Measures - Full-Year Outlook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shd w:val="clear" w:color="auto" w:fill="162835"/>
          </w:tcPr>
          <w:p>
            <w:pPr>
              <w:spacing w:after="0"/>
              <w:rPr>
                <w:sz w:val="17"/>
                <w:szCs w:val="17"/>
                <w:color w:val="auto"/>
              </w:rPr>
            </w:pPr>
          </w:p>
        </w:tc>
        <w:tc>
          <w:tcPr>
            <w:tcW w:w="294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year ended December 31, 2025</w:t>
            </w:r>
          </w:p>
        </w:tc>
        <w:tc>
          <w:tcPr>
            <w:tcW w:w="460" w:type="dxa"/>
            <w:vAlign w:val="bottom"/>
            <w:shd w:val="clear" w:color="auto" w:fill="162835"/>
          </w:tcPr>
          <w:p>
            <w:pPr>
              <w:spacing w:after="0"/>
              <w:rPr>
                <w:sz w:val="17"/>
                <w:szCs w:val="17"/>
                <w:color w:val="auto"/>
              </w:rPr>
            </w:pPr>
          </w:p>
        </w:tc>
      </w:tr>
      <w:tr>
        <w:trPr>
          <w:trHeight w:val="196"/>
        </w:trPr>
        <w:tc>
          <w:tcPr>
            <w:tcW w:w="7840" w:type="dxa"/>
            <w:vAlign w:val="bottom"/>
            <w:tcBorders>
              <w:bottom w:val="single" w:sz="8" w:color="162835"/>
            </w:tcBorders>
            <w:shd w:val="clear" w:color="auto" w:fill="162835"/>
          </w:tcPr>
          <w:p>
            <w:pPr>
              <w:spacing w:after="0"/>
              <w:rPr>
                <w:sz w:val="17"/>
                <w:szCs w:val="17"/>
                <w:color w:val="auto"/>
              </w:rPr>
            </w:pPr>
          </w:p>
        </w:tc>
        <w:tc>
          <w:tcPr>
            <w:tcW w:w="118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Low End</w:t>
            </w:r>
          </w:p>
        </w:tc>
        <w:tc>
          <w:tcPr>
            <w:tcW w:w="460" w:type="dxa"/>
            <w:vAlign w:val="bottom"/>
            <w:tcBorders>
              <w:bottom w:val="single" w:sz="8" w:color="162835"/>
            </w:tcBorders>
            <w:shd w:val="clear" w:color="auto" w:fill="162835"/>
          </w:tcPr>
          <w:p>
            <w:pPr>
              <w:spacing w:after="0"/>
              <w:rPr>
                <w:sz w:val="17"/>
                <w:szCs w:val="17"/>
                <w:color w:val="auto"/>
              </w:rPr>
            </w:pPr>
          </w:p>
        </w:tc>
        <w:tc>
          <w:tcPr>
            <w:tcW w:w="120" w:type="dxa"/>
            <w:vAlign w:val="bottom"/>
            <w:tcBorders>
              <w:bottom w:val="single" w:sz="8" w:color="162835"/>
            </w:tcBorders>
            <w:shd w:val="clear" w:color="auto" w:fill="162835"/>
          </w:tcPr>
          <w:p>
            <w:pPr>
              <w:spacing w:after="0"/>
              <w:rPr>
                <w:sz w:val="17"/>
                <w:szCs w:val="17"/>
                <w:color w:val="auto"/>
              </w:rPr>
            </w:pPr>
          </w:p>
        </w:tc>
        <w:tc>
          <w:tcPr>
            <w:tcW w:w="1180" w:type="dxa"/>
            <w:vAlign w:val="bottom"/>
            <w:tcBorders>
              <w:bottom w:val="single" w:sz="8" w:color="162835"/>
            </w:tcBorders>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High End</w:t>
            </w:r>
          </w:p>
        </w:tc>
        <w:tc>
          <w:tcPr>
            <w:tcW w:w="460" w:type="dxa"/>
            <w:vAlign w:val="bottom"/>
            <w:tcBorders>
              <w:bottom w:val="single" w:sz="8" w:color="162835"/>
            </w:tcBorders>
            <w:shd w:val="clear" w:color="auto" w:fill="162835"/>
          </w:tcPr>
          <w:p>
            <w:pPr>
              <w:spacing w:after="0"/>
              <w:rPr>
                <w:sz w:val="17"/>
                <w:szCs w:val="17"/>
                <w:color w:val="auto"/>
              </w:rPr>
            </w:pPr>
          </w:p>
        </w:tc>
      </w:tr>
      <w:tr>
        <w:trPr>
          <w:trHeight w:val="203"/>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shd w:val="clear" w:color="auto" w:fill="EEEEEE"/>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EEEEEE"/>
          </w:tcPr>
          <w:p>
            <w:pPr>
              <w:spacing w:after="0"/>
              <w:rPr>
                <w:sz w:val="17"/>
                <w:szCs w:val="17"/>
                <w:color w:val="auto"/>
              </w:rPr>
            </w:pPr>
          </w:p>
        </w:tc>
        <w:tc>
          <w:tcPr>
            <w:tcW w:w="1180" w:type="dxa"/>
            <w:vAlign w:val="bottom"/>
            <w:shd w:val="clear" w:color="auto" w:fill="EEEEEE"/>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94.0</w:t>
            </w:r>
          </w:p>
        </w:tc>
        <w:tc>
          <w:tcPr>
            <w:tcW w:w="1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joint ventures</w:t>
            </w: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1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316.3</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346.3</w:t>
            </w:r>
          </w:p>
        </w:tc>
      </w:tr>
      <w:tr>
        <w:trPr>
          <w:trHeight w:val="209"/>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properties, net</w:t>
            </w: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4"/>
                <w:szCs w:val="14"/>
                <w:b w:val="1"/>
                <w:bCs w:val="1"/>
                <w:i w:val="1"/>
                <w:iCs w:val="1"/>
                <w:color w:val="auto"/>
              </w:rPr>
              <w:t>re</w:t>
            </w:r>
          </w:p>
        </w:tc>
        <w:tc>
          <w:tcPr>
            <w:tcW w:w="11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315.0</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345.0</w:t>
            </w:r>
          </w:p>
        </w:tc>
      </w:tr>
      <w:tr>
        <w:trPr>
          <w:trHeight w:val="209"/>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18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362.5</w:t>
            </w:r>
          </w:p>
        </w:tc>
      </w:tr>
      <w:tr>
        <w:trPr>
          <w:trHeight w:val="209"/>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Other corporate adjustments</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EEEEEE"/>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2"/>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Consolidated Hotel EBITDA</w:t>
            </w:r>
          </w:p>
        </w:tc>
        <w:tc>
          <w:tcPr>
            <w:tcW w:w="1180" w:type="dxa"/>
            <w:vAlign w:val="bottom"/>
            <w:shd w:val="clear" w:color="auto" w:fill="EEEEEE"/>
          </w:tcPr>
          <w:p>
            <w:pPr>
              <w:spacing w:after="0"/>
              <w:rPr>
                <w:sz w:val="17"/>
                <w:szCs w:val="17"/>
                <w:color w:val="auto"/>
              </w:rPr>
            </w:pPr>
          </w:p>
        </w:tc>
        <w:tc>
          <w:tcPr>
            <w:tcW w:w="4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366.1</w:t>
            </w:r>
          </w:p>
        </w:tc>
        <w:tc>
          <w:tcPr>
            <w:tcW w:w="12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396.1</w:t>
            </w: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sold hotels</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EEEEEE"/>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28"/>
        </w:trPr>
        <w:tc>
          <w:tcPr>
            <w:tcW w:w="7840" w:type="dxa"/>
            <w:vAlign w:val="bottom"/>
            <w:tcBorders>
              <w:bottom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Consolidated Hotel EBITDA/Comparable Hotel EBITDA</w:t>
            </w:r>
          </w:p>
        </w:tc>
        <w:tc>
          <w:tcPr>
            <w:tcW w:w="1180" w:type="dxa"/>
            <w:vAlign w:val="bottom"/>
            <w:tcBorders>
              <w:bottom w:val="single" w:sz="8" w:color="auto"/>
            </w:tcBorders>
            <w:shd w:val="clear" w:color="auto" w:fill="EEEEEE"/>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365.5</w:t>
            </w:r>
          </w:p>
        </w:tc>
        <w:tc>
          <w:tcPr>
            <w:tcW w:w="12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395.5</w:t>
            </w:r>
          </w:p>
        </w:tc>
      </w:tr>
      <w:tr>
        <w:trPr>
          <w:trHeight w:val="20"/>
        </w:trPr>
        <w:tc>
          <w:tcPr>
            <w:tcW w:w="78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bottom w:val="single" w:sz="8" w:color="auto"/>
            </w:tcBorders>
          </w:tcPr>
          <w:p>
            <w:pPr>
              <w:spacing w:after="0" w:line="20" w:lineRule="exact"/>
              <w:rPr>
                <w:sz w:val="1"/>
                <w:szCs w:val="1"/>
                <w:color w:val="auto"/>
              </w:rPr>
            </w:pPr>
          </w:p>
        </w:tc>
        <w:tc>
          <w:tcPr>
            <w:tcW w:w="460" w:type="dxa"/>
            <w:vAlign w:val="bottom"/>
            <w:tcBorders>
              <w:top w:val="single" w:sz="8" w:color="EEEEEE"/>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bottom w:val="single" w:sz="8" w:color="auto"/>
            </w:tcBorders>
          </w:tcPr>
          <w:p>
            <w:pPr>
              <w:spacing w:after="0" w:line="20" w:lineRule="exact"/>
              <w:rPr>
                <w:sz w:val="1"/>
                <w:szCs w:val="1"/>
                <w:color w:val="auto"/>
              </w:rPr>
            </w:pPr>
          </w:p>
        </w:tc>
        <w:tc>
          <w:tcPr>
            <w:tcW w:w="460" w:type="dxa"/>
            <w:vAlign w:val="bottom"/>
            <w:tcBorders>
              <w:top w:val="single" w:sz="8" w:color="EEEEE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-2142490</wp:posOffset>
            </wp:positionV>
            <wp:extent cx="2160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Attributable to Common Shareholders and Unitholders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shd w:val="clear" w:color="auto" w:fill="162835"/>
          </w:tcPr>
          <w:p>
            <w:pPr>
              <w:spacing w:after="0"/>
              <w:rPr>
                <w:sz w:val="17"/>
                <w:szCs w:val="17"/>
                <w:color w:val="auto"/>
              </w:rPr>
            </w:pPr>
          </w:p>
        </w:tc>
        <w:tc>
          <w:tcPr>
            <w:tcW w:w="292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year ended December 31, 2025</w:t>
            </w:r>
          </w:p>
        </w:tc>
        <w:tc>
          <w:tcPr>
            <w:tcW w:w="440" w:type="dxa"/>
            <w:vAlign w:val="bottom"/>
            <w:shd w:val="clear" w:color="auto" w:fill="162835"/>
          </w:tcPr>
          <w:p>
            <w:pPr>
              <w:spacing w:after="0"/>
              <w:rPr>
                <w:sz w:val="17"/>
                <w:szCs w:val="17"/>
                <w:color w:val="auto"/>
              </w:rPr>
            </w:pPr>
          </w:p>
        </w:tc>
      </w:tr>
      <w:tr>
        <w:trPr>
          <w:trHeight w:val="196"/>
        </w:trPr>
        <w:tc>
          <w:tcPr>
            <w:tcW w:w="7820" w:type="dxa"/>
            <w:vAlign w:val="bottom"/>
            <w:tcBorders>
              <w:bottom w:val="single" w:sz="8" w:color="162835"/>
            </w:tcBorders>
            <w:shd w:val="clear" w:color="auto" w:fill="162835"/>
          </w:tcPr>
          <w:p>
            <w:pPr>
              <w:spacing w:after="0"/>
              <w:rPr>
                <w:sz w:val="17"/>
                <w:szCs w:val="17"/>
                <w:color w:val="auto"/>
              </w:rPr>
            </w:pPr>
          </w:p>
        </w:tc>
        <w:tc>
          <w:tcPr>
            <w:tcW w:w="118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Low End</w:t>
            </w:r>
          </w:p>
        </w:tc>
        <w:tc>
          <w:tcPr>
            <w:tcW w:w="460" w:type="dxa"/>
            <w:vAlign w:val="bottom"/>
            <w:tcBorders>
              <w:bottom w:val="single" w:sz="8" w:color="162835"/>
            </w:tcBorders>
            <w:shd w:val="clear" w:color="auto" w:fill="162835"/>
          </w:tcPr>
          <w:p>
            <w:pPr>
              <w:spacing w:after="0"/>
              <w:rPr>
                <w:sz w:val="17"/>
                <w:szCs w:val="17"/>
                <w:color w:val="auto"/>
              </w:rPr>
            </w:pPr>
          </w:p>
        </w:tc>
        <w:tc>
          <w:tcPr>
            <w:tcW w:w="100" w:type="dxa"/>
            <w:vAlign w:val="bottom"/>
            <w:tcBorders>
              <w:bottom w:val="single" w:sz="8" w:color="162835"/>
            </w:tcBorders>
            <w:shd w:val="clear" w:color="auto" w:fill="162835"/>
          </w:tcPr>
          <w:p>
            <w:pPr>
              <w:spacing w:after="0"/>
              <w:rPr>
                <w:sz w:val="17"/>
                <w:szCs w:val="17"/>
                <w:color w:val="auto"/>
              </w:rPr>
            </w:pPr>
          </w:p>
        </w:tc>
        <w:tc>
          <w:tcPr>
            <w:tcW w:w="118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High End</w:t>
            </w:r>
          </w:p>
        </w:tc>
        <w:tc>
          <w:tcPr>
            <w:tcW w:w="440" w:type="dxa"/>
            <w:vAlign w:val="bottom"/>
            <w:tcBorders>
              <w:bottom w:val="single" w:sz="8" w:color="162835"/>
            </w:tcBorders>
            <w:shd w:val="clear" w:color="auto" w:fill="162835"/>
          </w:tcPr>
          <w:p>
            <w:pPr>
              <w:spacing w:after="0"/>
              <w:rPr>
                <w:sz w:val="17"/>
                <w:szCs w:val="17"/>
                <w:color w:val="auto"/>
              </w:rPr>
            </w:pP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shd w:val="clear" w:color="auto" w:fill="EEEEEE"/>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EEEEEE"/>
          </w:tcPr>
          <w:p>
            <w:pPr>
              <w:spacing w:after="0"/>
              <w:rPr>
                <w:sz w:val="17"/>
                <w:szCs w:val="17"/>
                <w:color w:val="auto"/>
              </w:rPr>
            </w:pPr>
          </w:p>
        </w:tc>
        <w:tc>
          <w:tcPr>
            <w:tcW w:w="1180" w:type="dxa"/>
            <w:vAlign w:val="bottom"/>
            <w:shd w:val="clear" w:color="auto" w:fill="EEEEEE"/>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properties, net</w:t>
            </w: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joint ventures</w:t>
            </w:r>
          </w:p>
        </w:tc>
        <w:tc>
          <w:tcPr>
            <w:tcW w:w="118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FFO</w:t>
            </w: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194.8</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222.8</w:t>
            </w:r>
          </w:p>
        </w:tc>
      </w:tr>
      <w:tr>
        <w:trPr>
          <w:trHeight w:val="209"/>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6"/>
        </w:trPr>
        <w:tc>
          <w:tcPr>
            <w:tcW w:w="782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All other items, net</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EEEEEE"/>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28"/>
        </w:trPr>
        <w:tc>
          <w:tcPr>
            <w:tcW w:w="7820" w:type="dxa"/>
            <w:vAlign w:val="bottom"/>
            <w:tcBorders>
              <w:bottom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FFO</w:t>
            </w:r>
          </w:p>
        </w:tc>
        <w:tc>
          <w:tcPr>
            <w:tcW w:w="1180" w:type="dxa"/>
            <w:vAlign w:val="bottom"/>
            <w:tcBorders>
              <w:bottom w:val="single" w:sz="8" w:color="auto"/>
            </w:tcBorders>
            <w:shd w:val="clear" w:color="auto" w:fill="EEEEEE"/>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209.5</w:t>
            </w:r>
          </w:p>
        </w:tc>
        <w:tc>
          <w:tcPr>
            <w:tcW w:w="10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239.5</w:t>
            </w:r>
          </w:p>
        </w:tc>
      </w:tr>
      <w:tr>
        <w:trPr>
          <w:trHeight w:val="20"/>
        </w:trPr>
        <w:tc>
          <w:tcPr>
            <w:tcW w:w="78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bottom w:val="single" w:sz="8" w:color="auto"/>
            </w:tcBorders>
          </w:tcPr>
          <w:p>
            <w:pPr>
              <w:spacing w:after="0" w:line="20" w:lineRule="exact"/>
              <w:rPr>
                <w:sz w:val="1"/>
                <w:szCs w:val="1"/>
                <w:color w:val="auto"/>
              </w:rPr>
            </w:pPr>
          </w:p>
        </w:tc>
        <w:tc>
          <w:tcPr>
            <w:tcW w:w="46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bottom w:val="single" w:sz="8" w:color="auto"/>
            </w:tcBorders>
          </w:tcPr>
          <w:p>
            <w:pPr>
              <w:spacing w:after="0" w:line="20" w:lineRule="exact"/>
              <w:rPr>
                <w:sz w:val="1"/>
                <w:szCs w:val="1"/>
                <w:color w:val="auto"/>
              </w:rPr>
            </w:pPr>
          </w:p>
        </w:tc>
        <w:tc>
          <w:tcPr>
            <w:tcW w:w="440" w:type="dxa"/>
            <w:vAlign w:val="bottom"/>
            <w:tcBorders>
              <w:top w:val="single" w:sz="8" w:color="EEEEEE"/>
              <w:bottom w:val="single" w:sz="8" w:color="auto"/>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unit-diluted</w:t>
            </w:r>
          </w:p>
        </w:tc>
        <w:tc>
          <w:tcPr>
            <w:tcW w:w="1180" w:type="dxa"/>
            <w:vAlign w:val="bottom"/>
            <w:shd w:val="clear" w:color="auto" w:fill="EEEEEE"/>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shd w:val="clear" w:color="auto" w:fill="EEEEEE"/>
          </w:tcPr>
          <w:p>
            <w:pPr>
              <w:spacing w:after="0"/>
              <w:rPr>
                <w:sz w:val="17"/>
                <w:szCs w:val="17"/>
                <w:color w:val="auto"/>
              </w:rPr>
            </w:pPr>
          </w:p>
        </w:tc>
        <w:tc>
          <w:tcPr>
            <w:tcW w:w="1180" w:type="dxa"/>
            <w:vAlign w:val="bottom"/>
            <w:shd w:val="clear" w:color="auto" w:fill="EEEEEE"/>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r>
      <w:tr>
        <w:trPr>
          <w:trHeight w:val="216"/>
        </w:trPr>
        <w:tc>
          <w:tcPr>
            <w:tcW w:w="7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78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and units outstanding</w:t>
            </w:r>
          </w:p>
        </w:tc>
        <w:tc>
          <w:tcPr>
            <w:tcW w:w="1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-1859915</wp:posOffset>
            </wp:positionV>
            <wp:extent cx="2134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Debt Summary</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interest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shd w:val="clear" w:color="auto" w:fill="162835"/>
          </w:tcPr>
          <w:p>
            <w:pPr>
              <w:ind w:left="20"/>
              <w:spacing w:after="0"/>
              <w:rPr>
                <w:sz w:val="20"/>
                <w:szCs w:val="20"/>
                <w:color w:val="auto"/>
              </w:rPr>
            </w:pPr>
            <w:r>
              <w:rPr>
                <w:rFonts w:ascii="Times New Roman" w:cs="Times New Roman" w:eastAsia="Times New Roman" w:hAnsi="Times New Roman"/>
                <w:sz w:val="14"/>
                <w:szCs w:val="14"/>
                <w:b w:val="1"/>
                <w:bCs w:val="1"/>
                <w:color w:val="FFFFFF"/>
              </w:rPr>
              <w:t>Loan</w:t>
            </w:r>
          </w:p>
        </w:tc>
        <w:tc>
          <w:tcPr>
            <w:tcW w:w="110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Base Term</w:t>
            </w:r>
          </w:p>
        </w:tc>
        <w:tc>
          <w:tcPr>
            <w:tcW w:w="146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Maturity</w:t>
            </w:r>
          </w:p>
        </w:tc>
        <w:tc>
          <w:tcPr>
            <w:tcW w:w="1620" w:type="dxa"/>
            <w:vAlign w:val="bottom"/>
            <w:vMerge w:val="restart"/>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Floating / Fixed (1)</w:t>
            </w:r>
          </w:p>
        </w:tc>
        <w:tc>
          <w:tcPr>
            <w:tcW w:w="1520" w:type="dxa"/>
            <w:vAlign w:val="bottom"/>
            <w:gridSpan w:val="2"/>
            <w:vMerge w:val="restart"/>
            <w:shd w:val="clear" w:color="auto" w:fill="162835"/>
          </w:tcPr>
          <w:p>
            <w:pPr>
              <w:ind w:left="200"/>
              <w:spacing w:after="0"/>
              <w:rPr>
                <w:sz w:val="20"/>
                <w:szCs w:val="20"/>
                <w:color w:val="auto"/>
              </w:rPr>
            </w:pPr>
            <w:r>
              <w:rPr>
                <w:rFonts w:ascii="Times New Roman" w:cs="Times New Roman" w:eastAsia="Times New Roman" w:hAnsi="Times New Roman"/>
                <w:sz w:val="14"/>
                <w:szCs w:val="14"/>
                <w:b w:val="1"/>
                <w:bCs w:val="1"/>
                <w:color w:val="FFFFFF"/>
              </w:rPr>
              <w:t>Interest Rate (2)</w:t>
            </w:r>
          </w:p>
        </w:tc>
        <w:tc>
          <w:tcPr>
            <w:tcW w:w="220" w:type="dxa"/>
            <w:vAlign w:val="bottom"/>
            <w:shd w:val="clear" w:color="auto" w:fill="162835"/>
          </w:tcPr>
          <w:p>
            <w:pPr>
              <w:spacing w:after="0"/>
              <w:rPr>
                <w:sz w:val="13"/>
                <w:szCs w:val="13"/>
                <w:color w:val="auto"/>
              </w:rPr>
            </w:pPr>
          </w:p>
        </w:tc>
        <w:tc>
          <w:tcPr>
            <w:tcW w:w="1640" w:type="dxa"/>
            <w:vAlign w:val="bottom"/>
            <w:shd w:val="clear" w:color="auto" w:fill="162835"/>
          </w:tcPr>
          <w:p>
            <w:pPr>
              <w:jc w:val="right"/>
              <w:ind w:right="468"/>
              <w:spacing w:after="0"/>
              <w:rPr>
                <w:sz w:val="20"/>
                <w:szCs w:val="20"/>
                <w:color w:val="auto"/>
              </w:rPr>
            </w:pPr>
            <w:r>
              <w:rPr>
                <w:rFonts w:ascii="Times New Roman" w:cs="Times New Roman" w:eastAsia="Times New Roman" w:hAnsi="Times New Roman"/>
                <w:sz w:val="14"/>
                <w:szCs w:val="14"/>
                <w:b w:val="1"/>
                <w:bCs w:val="1"/>
                <w:color w:val="FFFFFF"/>
              </w:rPr>
              <w:t>Balance as of</w:t>
            </w:r>
          </w:p>
        </w:tc>
        <w:tc>
          <w:tcPr>
            <w:tcW w:w="0" w:type="dxa"/>
            <w:vAlign w:val="bottom"/>
          </w:tcPr>
          <w:p>
            <w:pPr>
              <w:spacing w:after="0"/>
              <w:rPr>
                <w:sz w:val="1"/>
                <w:szCs w:val="1"/>
                <w:color w:val="auto"/>
              </w:rPr>
            </w:pPr>
          </w:p>
        </w:tc>
      </w:tr>
      <w:tr>
        <w:trPr>
          <w:trHeight w:val="200"/>
        </w:trPr>
        <w:tc>
          <w:tcPr>
            <w:tcW w:w="3680" w:type="dxa"/>
            <w:vAlign w:val="bottom"/>
            <w:gridSpan w:val="2"/>
            <w:vMerge w:val="continue"/>
            <w:shd w:val="clear" w:color="auto" w:fill="162835"/>
          </w:tcPr>
          <w:p>
            <w:pPr>
              <w:spacing w:after="0"/>
              <w:rPr>
                <w:sz w:val="17"/>
                <w:szCs w:val="17"/>
                <w:color w:val="auto"/>
              </w:rPr>
            </w:pPr>
          </w:p>
        </w:tc>
        <w:tc>
          <w:tcPr>
            <w:tcW w:w="110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(Years)</w:t>
            </w:r>
          </w:p>
        </w:tc>
        <w:tc>
          <w:tcPr>
            <w:tcW w:w="146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(incl. extensions)</w:t>
            </w:r>
          </w:p>
        </w:tc>
        <w:tc>
          <w:tcPr>
            <w:tcW w:w="1620" w:type="dxa"/>
            <w:vAlign w:val="bottom"/>
            <w:vMerge w:val="continue"/>
            <w:shd w:val="clear" w:color="auto" w:fill="162835"/>
          </w:tcPr>
          <w:p>
            <w:pPr>
              <w:spacing w:after="0"/>
              <w:rPr>
                <w:sz w:val="17"/>
                <w:szCs w:val="17"/>
                <w:color w:val="auto"/>
              </w:rPr>
            </w:pPr>
          </w:p>
        </w:tc>
        <w:tc>
          <w:tcPr>
            <w:tcW w:w="1520" w:type="dxa"/>
            <w:vAlign w:val="bottom"/>
            <w:gridSpan w:val="2"/>
            <w:vMerge w:val="continue"/>
            <w:shd w:val="clear" w:color="auto" w:fill="162835"/>
          </w:tcPr>
          <w:p>
            <w:pPr>
              <w:spacing w:after="0"/>
              <w:rPr>
                <w:sz w:val="17"/>
                <w:szCs w:val="17"/>
                <w:color w:val="auto"/>
              </w:rPr>
            </w:pPr>
          </w:p>
        </w:tc>
        <w:tc>
          <w:tcPr>
            <w:tcW w:w="220" w:type="dxa"/>
            <w:vAlign w:val="bottom"/>
            <w:shd w:val="clear" w:color="auto" w:fill="162835"/>
          </w:tcPr>
          <w:p>
            <w:pPr>
              <w:spacing w:after="0"/>
              <w:rPr>
                <w:sz w:val="17"/>
                <w:szCs w:val="17"/>
                <w:color w:val="auto"/>
              </w:rPr>
            </w:pPr>
          </w:p>
        </w:tc>
        <w:tc>
          <w:tcPr>
            <w:tcW w:w="1640" w:type="dxa"/>
            <w:vAlign w:val="bottom"/>
            <w:shd w:val="clear" w:color="auto" w:fill="162835"/>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March 31, 2025 (3)</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Mortgage Debt</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Mortgage loan - 1 hotel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 2029</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Mortgage loan - 3 hotels</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96,000</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EEEEEE"/>
            </w:tcBorders>
            <w:gridSpan w:val="2"/>
          </w:tcPr>
          <w:p>
            <w:pPr>
              <w:ind w:left="20"/>
              <w:spacing w:after="0"/>
              <w:rPr>
                <w:sz w:val="20"/>
                <w:szCs w:val="20"/>
                <w:color w:val="auto"/>
              </w:rPr>
            </w:pPr>
            <w:r>
              <w:rPr>
                <w:rFonts w:ascii="Times New Roman" w:cs="Times New Roman" w:eastAsia="Times New Roman" w:hAnsi="Times New Roman"/>
                <w:sz w:val="14"/>
                <w:szCs w:val="14"/>
                <w:color w:val="auto"/>
              </w:rPr>
              <w:t>Mortgage loan - 4 hotels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Mortgage Total</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b w:val="1"/>
                <w:bCs w:val="1"/>
                <w:color w:val="auto"/>
              </w:rPr>
              <w:t>4.74%</w:t>
            </w: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206,000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Corporate Debt</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Revolver (4)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2028</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$225 Million Term Loan Maturing 2026</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May 2028</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w:t>
            </w: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Million Term Loan Maturing 2026 (5)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2028</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210"/>
        </w:trPr>
        <w:tc>
          <w:tcPr>
            <w:tcW w:w="3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Million Term Loan Maturing 2027</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September 2029</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Million Senior Notes due 2026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2026</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210"/>
        </w:trPr>
        <w:tc>
          <w:tcPr>
            <w:tcW w:w="3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Million Senior Notes due 2029</w:t>
            </w:r>
          </w:p>
        </w:tc>
        <w:tc>
          <w:tcPr>
            <w:tcW w:w="110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46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September 2029</w:t>
            </w:r>
          </w:p>
        </w:tc>
        <w:tc>
          <w:tcPr>
            <w:tcW w:w="162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auto"/>
            </w:tcBorders>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spacing w:after="0"/>
              <w:rPr>
                <w:sz w:val="18"/>
                <w:szCs w:val="18"/>
                <w:color w:val="auto"/>
              </w:rPr>
            </w:pPr>
          </w:p>
        </w:tc>
        <w:tc>
          <w:tcPr>
            <w:tcW w:w="16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0"/>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Corporate Total</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4.52%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2,025,000</w:t>
            </w:r>
          </w:p>
        </w:tc>
        <w:tc>
          <w:tcPr>
            <w:tcW w:w="0" w:type="dxa"/>
            <w:vAlign w:val="bottom"/>
          </w:tcPr>
          <w:p>
            <w:pPr>
              <w:spacing w:after="0"/>
              <w:rPr>
                <w:sz w:val="1"/>
                <w:szCs w:val="1"/>
                <w:color w:val="auto"/>
              </w:rPr>
            </w:pPr>
          </w:p>
        </w:tc>
      </w:tr>
      <w:tr>
        <w:trPr>
          <w:trHeight w:val="222"/>
        </w:trPr>
        <w:tc>
          <w:tcPr>
            <w:tcW w:w="3680" w:type="dxa"/>
            <w:vAlign w:val="bottom"/>
            <w:gridSpan w:val="2"/>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1460" w:type="dxa"/>
            <w:vAlign w:val="bottom"/>
            <w:shd w:val="clear" w:color="auto" w:fill="EEEEEE"/>
          </w:tcPr>
          <w:p>
            <w:pPr>
              <w:spacing w:after="0"/>
              <w:rPr>
                <w:sz w:val="19"/>
                <w:szCs w:val="19"/>
                <w:color w:val="auto"/>
              </w:rPr>
            </w:pPr>
          </w:p>
        </w:tc>
        <w:tc>
          <w:tcPr>
            <w:tcW w:w="1620" w:type="dxa"/>
            <w:vAlign w:val="bottom"/>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spacing w:after="0"/>
              <w:rPr>
                <w:sz w:val="19"/>
                <w:szCs w:val="19"/>
                <w:color w:val="auto"/>
              </w:rPr>
            </w:pPr>
          </w:p>
        </w:tc>
        <w:tc>
          <w:tcPr>
            <w:tcW w:w="1640" w:type="dxa"/>
            <w:vAlign w:val="bottom"/>
            <w:tcBorders>
              <w:bottom w:val="single" w:sz="8" w:color="auto"/>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Total</w:t>
            </w: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4.54%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2,231,000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36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floating interest rate is hedged, or partially hedged, with an interest rate swap.</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March 31, 2025, inclusive of the impact of interest rate hedges.</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fair value adjustments and deferred financing costs.</w:t>
      </w:r>
    </w:p>
    <w:p>
      <w:pPr>
        <w:spacing w:after="0" w:line="28" w:lineRule="exact"/>
        <w:rPr>
          <w:rFonts w:ascii="Times New Roman" w:cs="Times New Roman" w:eastAsia="Times New Roman" w:hAnsi="Times New Roman"/>
          <w:sz w:val="14"/>
          <w:szCs w:val="14"/>
          <w:color w:val="auto"/>
        </w:rPr>
      </w:pPr>
    </w:p>
    <w:p>
      <w:pPr>
        <w:ind w:left="820" w:right="200" w:hanging="488"/>
        <w:spacing w:after="0" w:line="248" w:lineRule="auto"/>
        <w:tabs>
          <w:tab w:leader="none" w:pos="8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of March 31, 2025, there was $500.0 million of borrowing capacity on the Revolver, which is charged an unused commitment fee of 0.25% annually. In April 2025, the Company repaid the $100.0 million outstanding balance on the Revolver with $100.0 million in incremental proceeds from the upsizing of the $200 Million Term Loan Maturing 2026.</w:t>
      </w:r>
    </w:p>
    <w:p>
      <w:pPr>
        <w:spacing w:after="0" w:line="169" w:lineRule="exact"/>
        <w:rPr>
          <w:rFonts w:ascii="Times New Roman" w:cs="Times New Roman" w:eastAsia="Times New Roman" w:hAnsi="Times New Roman"/>
          <w:sz w:val="16"/>
          <w:szCs w:val="16"/>
          <w:color w:val="auto"/>
        </w:rPr>
      </w:pPr>
    </w:p>
    <w:p>
      <w:pPr>
        <w:ind w:left="820" w:right="500" w:hanging="488"/>
        <w:spacing w:after="0" w:line="283" w:lineRule="auto"/>
        <w:tabs>
          <w:tab w:leader="none" w:pos="8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Company refinanced the $200 Million Term Loan Maturing 2026 to increase the term loan to $300.0 million and extend the initial maturity to April 2030, inclusive of two, one-year extension options at the Company's discretion,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2025-05-05T08:50:05Z</dcterms:created>
  <dcterms:modified xsi:type="dcterms:W3CDTF">2025-05-05T08:50:05Z</dcterms:modified>
</cp:coreProperties>
</file>