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8611" w:type="dxa"/>
        <w:jc w:val="left"/>
        <w:tblInd w:w="0" w:type="dxa"/>
        <w:tblLayout w:type="fixed"/>
        <w:tblCellMar>
          <w:top w:w="28" w:type="dxa"/>
          <w:left w:w="28" w:type="dxa"/>
          <w:bottom w:w="28" w:type="dxa"/>
          <w:right w:w="28" w:type="dxa"/>
        </w:tblCellMar>
      </w:tblPr>
      <w:tblGrid>
        <w:gridCol w:w="8611"/>
      </w:tblGrid>
      <w:tr>
        <w:trPr/>
        <w:tc>
          <w:tcPr>
            <w:tcW w:w="8611"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8611"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8611" w:type="dxa"/>
            <w:tcBorders/>
            <w:vAlign w:val="center"/>
          </w:tcPr>
          <w:p>
            <w:pPr>
              <w:pStyle w:val="TableContents"/>
              <w:bidi w:val="0"/>
              <w:spacing w:before="0" w:after="0"/>
              <w:jc w:val="left"/>
              <w:rPr/>
            </w:pPr>
            <w:r>
              <w:rPr/>
              <w:t xml:space="preserve">UNDER THE SECURITIES EXCHANGE ACT OF 1934 </w:t>
            </w:r>
          </w:p>
        </w:tc>
      </w:tr>
      <w:tr>
        <w:trPr/>
        <w:tc>
          <w:tcPr>
            <w:tcW w:w="8611" w:type="dxa"/>
            <w:tcBorders/>
            <w:vAlign w:val="center"/>
          </w:tcPr>
          <w:p>
            <w:pPr>
              <w:pStyle w:val="TableContents"/>
              <w:bidi w:val="0"/>
              <w:spacing w:before="0" w:after="0"/>
              <w:jc w:val="center"/>
              <w:rPr>
                <w:b/>
              </w:rPr>
            </w:pPr>
            <w:r>
              <w:rPr>
                <w:b/>
              </w:rPr>
              <w:t xml:space="preserve">(Amendment No. </w:t>
            </w:r>
            <w:r>
              <w:rPr>
                <w:b/>
                <w:color w:val="0000FF"/>
              </w:rPr>
              <w:t>9</w:t>
            </w:r>
            <w:r>
              <w:rPr>
                <w:b/>
              </w:rPr>
              <w:t xml:space="preserve">)* </w:t>
            </w:r>
          </w:p>
          <w:p>
            <w:pPr>
              <w:pStyle w:val="TableContents"/>
              <w:bidi w:val="0"/>
              <w:spacing w:before="0" w:after="0"/>
              <w:jc w:val="left"/>
              <w:rPr/>
            </w:pPr>
            <w:r>
              <w:rPr/>
            </w:r>
          </w:p>
        </w:tc>
      </w:tr>
      <w:tr>
        <w:trPr/>
        <w:tc>
          <w:tcPr>
            <w:tcW w:w="8611" w:type="dxa"/>
            <w:tcBorders/>
            <w:vAlign w:val="center"/>
          </w:tcPr>
          <w:p>
            <w:pPr>
              <w:pStyle w:val="TableContents"/>
              <w:bidi w:val="0"/>
              <w:spacing w:before="0" w:after="0"/>
              <w:jc w:val="center"/>
              <w:rPr>
                <w:b/>
                <w:color w:val="0000FF"/>
              </w:rPr>
            </w:pPr>
            <w:r>
              <w:rPr>
                <w:b/>
                <w:color w:val="0000FF"/>
              </w:rPr>
              <w:t>RLJ Lodging Trust</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8611" w:type="dxa"/>
            <w:tcBorders/>
            <w:vAlign w:val="center"/>
          </w:tcPr>
          <w:p>
            <w:pPr>
              <w:pStyle w:val="TableContents"/>
              <w:bidi w:val="0"/>
              <w:spacing w:before="0" w:after="0"/>
              <w:jc w:val="center"/>
              <w:rPr>
                <w:b/>
                <w:color w:val="0000FF"/>
              </w:rPr>
            </w:pPr>
            <w:r>
              <w:rPr>
                <w:b/>
                <w:color w:val="0000FF"/>
              </w:rPr>
              <w:t>$1.95 Series A Cumulative Convertible Preferred Shares,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8611"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8611"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7"/>
        <w:gridCol w:w="8178"/>
      </w:tblGrid>
      <w:tr>
        <w:trPr/>
        <w:tc>
          <w:tcPr>
            <w:tcW w:w="2027" w:type="dxa"/>
            <w:tcBorders/>
            <w:vAlign w:val="center"/>
          </w:tcPr>
          <w:p>
            <w:pPr>
              <w:pStyle w:val="TableContents"/>
              <w:bidi w:val="0"/>
              <w:spacing w:before="0" w:after="283"/>
              <w:jc w:val="left"/>
              <w:rPr/>
            </w:pPr>
            <w:r>
              <w:rPr/>
              <w:t>1</w:t>
            </w:r>
          </w:p>
        </w:tc>
        <w:tc>
          <w:tcPr>
            <w:tcW w:w="817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Infrastructure Capital Advisors, LLC</w:t>
            </w:r>
          </w:p>
        </w:tc>
      </w:tr>
      <w:tr>
        <w:trPr/>
        <w:tc>
          <w:tcPr>
            <w:tcW w:w="2027" w:type="dxa"/>
            <w:tcBorders/>
            <w:vAlign w:val="center"/>
          </w:tcPr>
          <w:p>
            <w:pPr>
              <w:pStyle w:val="TableContents"/>
              <w:bidi w:val="0"/>
              <w:spacing w:before="0" w:after="283"/>
              <w:jc w:val="left"/>
              <w:rPr/>
            </w:pPr>
            <w:r>
              <w:rPr/>
              <w:t>2</w:t>
            </w:r>
          </w:p>
        </w:tc>
        <w:tc>
          <w:tcPr>
            <w:tcW w:w="817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7" w:type="dxa"/>
            <w:tcBorders/>
            <w:vAlign w:val="center"/>
          </w:tcPr>
          <w:p>
            <w:pPr>
              <w:pStyle w:val="TableContents"/>
              <w:bidi w:val="0"/>
              <w:spacing w:before="0" w:after="283"/>
              <w:jc w:val="left"/>
              <w:rPr/>
            </w:pPr>
            <w:r>
              <w:rPr/>
              <w:t>3</w:t>
            </w:r>
          </w:p>
        </w:tc>
        <w:tc>
          <w:tcPr>
            <w:tcW w:w="8178" w:type="dxa"/>
            <w:tcBorders/>
            <w:vAlign w:val="center"/>
          </w:tcPr>
          <w:p>
            <w:pPr>
              <w:pStyle w:val="TableContents"/>
              <w:bidi w:val="0"/>
              <w:spacing w:before="0" w:after="283"/>
              <w:jc w:val="left"/>
              <w:rPr/>
            </w:pPr>
            <w:r>
              <w:rPr/>
              <w:t>Sec Use Only</w:t>
            </w:r>
          </w:p>
        </w:tc>
      </w:tr>
      <w:tr>
        <w:trPr/>
        <w:tc>
          <w:tcPr>
            <w:tcW w:w="2027" w:type="dxa"/>
            <w:tcBorders/>
            <w:vAlign w:val="center"/>
          </w:tcPr>
          <w:p>
            <w:pPr>
              <w:pStyle w:val="TableContents"/>
              <w:bidi w:val="0"/>
              <w:spacing w:before="0" w:after="283"/>
              <w:jc w:val="left"/>
              <w:rPr/>
            </w:pPr>
            <w:r>
              <w:rPr/>
              <w:t>4</w:t>
            </w:r>
          </w:p>
        </w:tc>
        <w:tc>
          <w:tcPr>
            <w:tcW w:w="817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02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8" w:type="dxa"/>
            <w:tcBorders/>
            <w:vAlign w:val="center"/>
          </w:tcPr>
          <w:p>
            <w:pPr>
              <w:pStyle w:val="TableContents"/>
              <w:bidi w:val="0"/>
              <w:spacing w:before="0" w:after="283"/>
              <w:jc w:val="left"/>
              <w:rPr>
                <w:sz w:val="4"/>
                <w:szCs w:val="4"/>
              </w:rPr>
            </w:pPr>
            <w:r>
              <w:rPr>
                <w:sz w:val="4"/>
                <w:szCs w:val="4"/>
              </w:rPr>
            </w:r>
          </w:p>
        </w:tc>
      </w:tr>
      <w:tr>
        <w:trPr/>
        <w:tc>
          <w:tcPr>
            <w:tcW w:w="2027" w:type="dxa"/>
            <w:tcBorders/>
            <w:vAlign w:val="center"/>
          </w:tcPr>
          <w:p>
            <w:pPr>
              <w:pStyle w:val="TableContents"/>
              <w:bidi w:val="0"/>
              <w:spacing w:before="0" w:after="283"/>
              <w:jc w:val="left"/>
              <w:rPr/>
            </w:pPr>
            <w:r>
              <w:rPr/>
              <w:t>9</w:t>
            </w:r>
          </w:p>
        </w:tc>
        <w:tc>
          <w:tcPr>
            <w:tcW w:w="817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7" w:type="dxa"/>
            <w:tcBorders/>
            <w:vAlign w:val="center"/>
          </w:tcPr>
          <w:p>
            <w:pPr>
              <w:pStyle w:val="TableContents"/>
              <w:bidi w:val="0"/>
              <w:spacing w:before="0" w:after="283"/>
              <w:jc w:val="left"/>
              <w:rPr/>
            </w:pPr>
            <w:r>
              <w:rPr/>
              <w:t>10</w:t>
            </w:r>
          </w:p>
        </w:tc>
        <w:tc>
          <w:tcPr>
            <w:tcW w:w="817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7" w:type="dxa"/>
            <w:tcBorders/>
            <w:vAlign w:val="center"/>
          </w:tcPr>
          <w:p>
            <w:pPr>
              <w:pStyle w:val="TableContents"/>
              <w:bidi w:val="0"/>
              <w:spacing w:before="0" w:after="283"/>
              <w:jc w:val="left"/>
              <w:rPr/>
            </w:pPr>
            <w:r>
              <w:rPr/>
              <w:t>11</w:t>
            </w:r>
          </w:p>
        </w:tc>
        <w:tc>
          <w:tcPr>
            <w:tcW w:w="817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7" w:type="dxa"/>
            <w:tcBorders/>
            <w:vAlign w:val="center"/>
          </w:tcPr>
          <w:p>
            <w:pPr>
              <w:pStyle w:val="TableContents"/>
              <w:bidi w:val="0"/>
              <w:spacing w:before="0" w:after="283"/>
              <w:jc w:val="left"/>
              <w:rPr/>
            </w:pPr>
            <w:r>
              <w:rPr/>
              <w:t>12</w:t>
            </w:r>
          </w:p>
        </w:tc>
        <w:tc>
          <w:tcPr>
            <w:tcW w:w="817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Virtus InfraCap U.S. Preferred Stock ETF, a Series of ETFis Series Trust I</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1,985,178.00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1,985,178.00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1,985,178.00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15.78 %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Jay Hatfield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InfraCap Equity Income Fund ETF, a series of Series Portfolios Trust</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47,645.00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47,645.00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47,645.00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0.37 %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22"/>
        <w:gridCol w:w="8928"/>
        <w:gridCol w:w="155"/>
      </w:tblGrid>
      <w:tr>
        <w:trPr/>
        <w:tc>
          <w:tcPr>
            <w:tcW w:w="1122" w:type="dxa"/>
            <w:tcBorders/>
            <w:vAlign w:val="center"/>
          </w:tcPr>
          <w:p>
            <w:pPr>
              <w:pStyle w:val="TableContents"/>
              <w:bidi w:val="0"/>
              <w:spacing w:before="0" w:after="283"/>
              <w:jc w:val="left"/>
              <w:rPr/>
            </w:pPr>
            <w:r>
              <w:rPr/>
              <w:t>Item 1.</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issuer: </w:t>
            </w:r>
          </w:p>
          <w:p>
            <w:pPr>
              <w:pStyle w:val="TableContents"/>
              <w:bidi w:val="0"/>
              <w:spacing w:before="0" w:after="0"/>
              <w:jc w:val="left"/>
              <w:rPr/>
            </w:pPr>
            <w:r>
              <w:rPr/>
              <w:t>RLJ Lodging Trust</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7373 WISCONSIN AVE, SUITE 1500, BETHESDA, MD, 20814</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2.</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Infrastructure Capital Advisors, LLC Virtus InfraCap U.S. Preferred Stock ETF, a Series of ETFis Series Trust I Jay Hatfield InfraCap Equity Income Fund ETF, a series of Series Portfolios Trust</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Infrastructure Capital Advisors, LLC 1325 AVENUE OF THE AMERICAS, 28TH FLOOR, NEW YORK, NY, 10019 Virtus InfraCap U.S. Preferred Stock ETF, a Series of ETFis Series Trust I 1325 AVENUE OF THE AMERICAS, 28TH FLOOR, NEW YORK, NY, 10019 Jay Hatfield 1325 AVENUE OF THE AMERICAS, 28TH FLOOR, NEW YORK, NY, 10019 InfraCap Equity Income Fund ETF, a series of Series Portfolios Trust 1325 AVENUE OF THE AMERICAS, 28TH FLOOR, NEW YORK, NY, 10019</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jc w:val="left"/>
              <w:rPr/>
            </w:pPr>
            <w:r>
              <w:rPr/>
              <w:t xml:space="preserve">Citizenship: </w:t>
            </w:r>
          </w:p>
          <w:p>
            <w:pPr>
              <w:pStyle w:val="TableContents"/>
              <w:bidi w:val="0"/>
              <w:spacing w:before="0" w:after="0"/>
              <w:jc w:val="left"/>
              <w:rPr/>
            </w:pPr>
            <w:r>
              <w:rPr/>
              <w:t>Infrastructure Capital Advisors, LLC - New York Virtus InfraCap U.S. Preferred Stock ETF, a Series of ETFis Series Trust I - Delaware Jay Hatfield - United States InfraCap Equity Income Fund ETF, a series of Series Portfolios Trust - Delaware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$1.95 Series A Cumulative Convertible Preferred Shares,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3.</w:t>
            </w:r>
          </w:p>
        </w:tc>
        <w:tc>
          <w:tcPr>
            <w:tcW w:w="892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(f)</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(g)</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(h)</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(j)</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(k)</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9083"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4.</w:t>
            </w:r>
          </w:p>
        </w:tc>
        <w:tc>
          <w:tcPr>
            <w:tcW w:w="892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Infrastructure Capital Advisors, LLC - 0 Virtus InfraCap U.S. Preferred Stock ETF, a Series of ETFis Series Trust I - 1,985,178 Jay Hatfield - 0 InfraCap Equity Income Fund ETF, a series of Series Portfolios Trust - 47,645</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Infrastructure Capital Advisors, LLC - 0.0% Virtus InfraCap U.S. Preferred Stock ETF, a Series of ETFis Series Trust I - 15.78% Jay Hatfield - 0.0% InfraCap Equity Income Fund ETF, a series of Series Portfolios Trust - 0.37%  %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Infrastructure Capital Advisors, LLC - 0 Virtus InfraCap U.S. Preferred Stock ETF, a Series of ETFis Series Trust I - 0 Jay Hatfield - 0 InfraCap Equity Income Fund ETF, a series of Series Portfolios Trust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Infrastructure Capital Advisors, LLC - 0 Virtus InfraCap U.S. Preferred Stock ETF, a Series of ETFis Series Trust I - 1,985,178 Jay Hatfield - 0 InfraCap Equity Income Fund ETF, a series of Series Portfolios Trust - 47,645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Infrastructure Capital Advisors, LLC - 0 Virtus InfraCap U.S. Preferred Stock ETF, a Series of ETFis Series Trust I - 0 Jay Hatfield - 0 InfraCap Equity Income Fund ETF, a series of Series Portfolios Trust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Infrastructure Capital Advisors, LLC - 0 Virtus InfraCap U.S. Preferred Stock ETF, a Series of ETFis Series Trust I - 1,985,178 Jay Hatfield - 0 InfraCap Equity Income Fund ETF, a series of Series Portfolios Trust - 47,645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5.</w:t>
            </w:r>
          </w:p>
        </w:tc>
        <w:tc>
          <w:tcPr>
            <w:tcW w:w="892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892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All of the shares of $1.95 Series A Cumulative Convertible Preferred Shares, par value $0.01 per share reported in this Schedule 13G are held in the accounts of Infrastructure Capital Advisors, LLC's clients, none of which, other than Virtus InfraCap U.S. Preferred Stock ETF, a Series of ETFis Series Trust I, individually owns more than 5% of the $1.95 Series A Cumulative Convertible Preferred Shares,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7.</w:t>
            </w:r>
          </w:p>
        </w:tc>
        <w:tc>
          <w:tcPr>
            <w:tcW w:w="892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see Exhibit B attached hereto.</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8.</w:t>
            </w:r>
          </w:p>
        </w:tc>
        <w:tc>
          <w:tcPr>
            <w:tcW w:w="892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9.</w:t>
            </w:r>
          </w:p>
        </w:tc>
        <w:tc>
          <w:tcPr>
            <w:tcW w:w="892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Infrastructure Capital Advisors, LLC</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3"/>
        <w:gridCol w:w="4072"/>
      </w:tblGrid>
      <w:tr>
        <w:trPr/>
        <w:tc>
          <w:tcPr>
            <w:tcW w:w="61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Samuel Caffrey-Agoglia</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Samuel Caffrey-Agoglia, General Counsel and Chief Compliance Officer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67"/>
        <w:gridCol w:w="4938"/>
      </w:tblGrid>
      <w:tr>
        <w:trPr/>
        <w:tc>
          <w:tcPr>
            <w:tcW w:w="5267" w:type="dxa"/>
            <w:tcBorders/>
            <w:vAlign w:val="center"/>
          </w:tcPr>
          <w:p>
            <w:pPr>
              <w:pStyle w:val="TableContents"/>
              <w:bidi w:val="0"/>
              <w:spacing w:before="0" w:after="0"/>
              <w:jc w:val="left"/>
              <w:rPr/>
            </w:pPr>
            <w:r>
              <w:rPr/>
              <w:t> </w:t>
            </w:r>
          </w:p>
          <w:tbl>
            <w:tblPr>
              <w:tblW w:w="7246" w:type="dxa"/>
              <w:jc w:val="left"/>
              <w:tblInd w:w="0" w:type="dxa"/>
              <w:tblLayout w:type="fixed"/>
              <w:tblCellMar>
                <w:top w:w="28" w:type="dxa"/>
                <w:left w:w="28" w:type="dxa"/>
                <w:bottom w:w="28" w:type="dxa"/>
                <w:right w:w="28" w:type="dxa"/>
              </w:tblCellMar>
            </w:tblPr>
            <w:tblGrid>
              <w:gridCol w:w="7246"/>
            </w:tblGrid>
            <w:tr>
              <w:trPr/>
              <w:tc>
                <w:tcPr>
                  <w:tcW w:w="7246" w:type="dxa"/>
                  <w:tcBorders/>
                  <w:vAlign w:val="center"/>
                </w:tcPr>
                <w:p>
                  <w:pPr>
                    <w:pStyle w:val="TableContents"/>
                    <w:bidi w:val="0"/>
                    <w:spacing w:before="0" w:after="0"/>
                    <w:jc w:val="left"/>
                    <w:rPr/>
                  </w:pPr>
                  <w:r>
                    <w:rPr/>
                    <w:t>Virtus InfraCap U.S. Preferred Stock ETF, a Series of ETFis Series Trust I</w:t>
                  </w:r>
                </w:p>
              </w:tc>
            </w:tr>
          </w:tbl>
          <w:p>
            <w:pPr>
              <w:pStyle w:val="TableContents"/>
              <w:bidi w:val="0"/>
              <w:spacing w:before="0" w:after="283"/>
              <w:jc w:val="left"/>
              <w:rPr/>
            </w:pPr>
            <w:r>
              <w:rPr/>
            </w:r>
          </w:p>
        </w:tc>
        <w:tc>
          <w:tcPr>
            <w:tcW w:w="49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3"/>
        <w:gridCol w:w="4072"/>
      </w:tblGrid>
      <w:tr>
        <w:trPr/>
        <w:tc>
          <w:tcPr>
            <w:tcW w:w="61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Samuel Caffrey-Agoglia</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Samuel Caffrey-Agoglia, General Counsel and Chief Compliance Officer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72" w:type="dxa"/>
            <w:tcBorders/>
            <w:vAlign w:val="center"/>
          </w:tcPr>
          <w:p>
            <w:pPr>
              <w:pStyle w:val="TableContents"/>
              <w:bidi w:val="0"/>
              <w:spacing w:before="0" w:after="283"/>
              <w:jc w:val="left"/>
              <w:rPr>
                <w:sz w:val="4"/>
                <w:szCs w:val="4"/>
              </w:rPr>
            </w:pPr>
            <w:r>
              <w:rPr>
                <w:sz w:val="4"/>
                <w:szCs w:val="4"/>
              </w:rPr>
            </w:r>
          </w:p>
        </w:tc>
      </w:tr>
    </w:tbl>
    <w:tbl>
      <w:tblPr>
        <w:tblW w:w="2838" w:type="dxa"/>
        <w:jc w:val="left"/>
        <w:tblInd w:w="0" w:type="dxa"/>
        <w:tblLayout w:type="fixed"/>
        <w:tblCellMar>
          <w:top w:w="28" w:type="dxa"/>
          <w:left w:w="28" w:type="dxa"/>
          <w:bottom w:w="28" w:type="dxa"/>
          <w:right w:w="28" w:type="dxa"/>
        </w:tblCellMar>
      </w:tblPr>
      <w:tblGrid>
        <w:gridCol w:w="1419"/>
        <w:gridCol w:w="1419"/>
      </w:tblGrid>
      <w:tr>
        <w:trPr/>
        <w:tc>
          <w:tcPr>
            <w:tcW w:w="1419" w:type="dxa"/>
            <w:tcBorders/>
            <w:vAlign w:val="center"/>
          </w:tcPr>
          <w:p>
            <w:pPr>
              <w:pStyle w:val="TableContents"/>
              <w:bidi w:val="0"/>
              <w:spacing w:before="0" w:after="0"/>
              <w:jc w:val="left"/>
              <w:rPr/>
            </w:pPr>
            <w:r>
              <w:rPr/>
              <w:t> </w:t>
            </w:r>
          </w:p>
          <w:tbl>
            <w:tblPr>
              <w:tblW w:w="1306" w:type="dxa"/>
              <w:jc w:val="left"/>
              <w:tblInd w:w="0" w:type="dxa"/>
              <w:tblLayout w:type="fixed"/>
              <w:tblCellMar>
                <w:top w:w="28" w:type="dxa"/>
                <w:left w:w="28" w:type="dxa"/>
                <w:bottom w:w="28" w:type="dxa"/>
                <w:right w:w="28" w:type="dxa"/>
              </w:tblCellMar>
            </w:tblPr>
            <w:tblGrid>
              <w:gridCol w:w="1306"/>
            </w:tblGrid>
            <w:tr>
              <w:trPr/>
              <w:tc>
                <w:tcPr>
                  <w:tcW w:w="1306" w:type="dxa"/>
                  <w:tcBorders/>
                  <w:vAlign w:val="center"/>
                </w:tcPr>
                <w:p>
                  <w:pPr>
                    <w:pStyle w:val="TableContents"/>
                    <w:bidi w:val="0"/>
                    <w:spacing w:before="0" w:after="0"/>
                    <w:jc w:val="left"/>
                    <w:rPr/>
                  </w:pPr>
                  <w:r>
                    <w:rPr/>
                    <w:t>Jay Hatfield</w:t>
                  </w:r>
                </w:p>
              </w:tc>
            </w:tr>
          </w:tbl>
          <w:p>
            <w:pPr>
              <w:pStyle w:val="TableContents"/>
              <w:bidi w:val="0"/>
              <w:spacing w:before="0" w:after="283"/>
              <w:jc w:val="left"/>
              <w:rPr/>
            </w:pPr>
            <w:r>
              <w:rPr/>
            </w:r>
          </w:p>
        </w:tc>
        <w:tc>
          <w:tcPr>
            <w:tcW w:w="1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8"/>
        <w:gridCol w:w="4417"/>
      </w:tblGrid>
      <w:tr>
        <w:trPr/>
        <w:tc>
          <w:tcPr>
            <w:tcW w:w="57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Jay Hatfield</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Jay Hatfield</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47"/>
        <w:gridCol w:w="4958"/>
      </w:tblGrid>
      <w:tr>
        <w:trPr/>
        <w:tc>
          <w:tcPr>
            <w:tcW w:w="5247" w:type="dxa"/>
            <w:tcBorders/>
            <w:vAlign w:val="center"/>
          </w:tcPr>
          <w:p>
            <w:pPr>
              <w:pStyle w:val="TableContents"/>
              <w:bidi w:val="0"/>
              <w:spacing w:before="0" w:after="0"/>
              <w:jc w:val="left"/>
              <w:rPr/>
            </w:pPr>
            <w:r>
              <w:rPr/>
              <w:t> </w:t>
            </w:r>
          </w:p>
          <w:tbl>
            <w:tblPr>
              <w:tblW w:w="6736" w:type="dxa"/>
              <w:jc w:val="left"/>
              <w:tblInd w:w="0" w:type="dxa"/>
              <w:tblLayout w:type="fixed"/>
              <w:tblCellMar>
                <w:top w:w="28" w:type="dxa"/>
                <w:left w:w="28" w:type="dxa"/>
                <w:bottom w:w="28" w:type="dxa"/>
                <w:right w:w="28" w:type="dxa"/>
              </w:tblCellMar>
            </w:tblPr>
            <w:tblGrid>
              <w:gridCol w:w="6736"/>
            </w:tblGrid>
            <w:tr>
              <w:trPr/>
              <w:tc>
                <w:tcPr>
                  <w:tcW w:w="6736" w:type="dxa"/>
                  <w:tcBorders/>
                  <w:vAlign w:val="center"/>
                </w:tcPr>
                <w:p>
                  <w:pPr>
                    <w:pStyle w:val="TableContents"/>
                    <w:bidi w:val="0"/>
                    <w:spacing w:before="0" w:after="0"/>
                    <w:jc w:val="left"/>
                    <w:rPr/>
                  </w:pPr>
                  <w:r>
                    <w:rPr/>
                    <w:t>InfraCap Equity Income Fund ETF, a series of Series Portfolios Trust</w:t>
                  </w:r>
                </w:p>
              </w:tc>
            </w:tr>
          </w:tbl>
          <w:p>
            <w:pPr>
              <w:pStyle w:val="TableContents"/>
              <w:bidi w:val="0"/>
              <w:spacing w:before="0" w:after="283"/>
              <w:jc w:val="left"/>
              <w:rPr/>
            </w:pPr>
            <w:r>
              <w:rPr/>
            </w:r>
          </w:p>
        </w:tc>
        <w:tc>
          <w:tcPr>
            <w:tcW w:w="49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3"/>
        <w:gridCol w:w="4072"/>
      </w:tblGrid>
      <w:tr>
        <w:trPr/>
        <w:tc>
          <w:tcPr>
            <w:tcW w:w="61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Samuel Caffrey-Agoglia</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Samuel Caffrey-Agoglia, General Counsel and Chief Compliance Officer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7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b/>
          <w:color w:val="000000"/>
        </w:rPr>
        <w:t>Comments accompanying signature:</w:t>
      </w:r>
      <w:r>
        <w:rPr/>
        <w:t>  * Each Reporting Person disclaims beneficial ownership of the reported securities except 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p>
      <w:pPr>
        <w:pStyle w:val="TextBody"/>
        <w:bidi w:val="0"/>
        <w:spacing w:before="0" w:after="240"/>
        <w:jc w:val="right"/>
        <w:rPr>
          <w:rFonts w:ascii="Times New Roman;Times;Serif" w:hAnsi="Times New Roman;Times;Serif"/>
          <w:b w:val="false"/>
          <w:i w:val="false"/>
          <w:caps w:val="false"/>
          <w:smallCaps w:val="false"/>
          <w:sz w:val="22"/>
          <w:u w:val="single"/>
        </w:rPr>
      </w:pPr>
      <w:bookmarkStart w:id="28" w:name="p15051372_exh-a.htm"/>
      <w:bookmarkStart w:id="29" w:name="ksp15051372_exha"/>
      <w:bookmarkEnd w:id="28"/>
      <w:bookmarkEnd w:id="29"/>
      <w:r>
        <w:rPr>
          <w:rFonts w:ascii="Times New Roman;Times;Serif" w:hAnsi="Times New Roman;Times;Serif"/>
          <w:b w:val="false"/>
          <w:i w:val="false"/>
          <w:caps w:val="false"/>
          <w:smallCaps w:val="false"/>
          <w:sz w:val="22"/>
          <w:u w:val="single"/>
        </w:rPr>
        <w:t>Exhibit A</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Schedule 13G Amendment No. 9 dated August 14, 2026 relating to the $1.95 Series A Cumulative Convertible Preferred Shares, par value $0.01 per share, of RLJ Lodging Trust shall be filed on behalf of the undersigned.</w:t>
      </w:r>
    </w:p>
    <w:tbl>
      <w:tblPr>
        <w:tblW w:w="5090" w:type="dxa"/>
        <w:jc w:val="left"/>
        <w:tblInd w:w="0" w:type="dxa"/>
        <w:tblLayout w:type="fixed"/>
        <w:tblCellMar>
          <w:top w:w="0" w:type="dxa"/>
          <w:left w:w="0" w:type="dxa"/>
          <w:bottom w:w="0" w:type="dxa"/>
          <w:right w:w="0" w:type="dxa"/>
        </w:tblCellMar>
      </w:tblPr>
      <w:tblGrid>
        <w:gridCol w:w="75"/>
        <w:gridCol w:w="50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1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INFRASTRUCTURE CAPITAL ADVISORS,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Samuel Caffrey-Agoglia</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Samuel Caffrey-Agoglia</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General Counsel and Chief Compliance Officer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885" w:type="dxa"/>
        <w:jc w:val="left"/>
        <w:tblInd w:w="0" w:type="dxa"/>
        <w:tblLayout w:type="fixed"/>
        <w:tblCellMar>
          <w:top w:w="0" w:type="dxa"/>
          <w:left w:w="0" w:type="dxa"/>
          <w:bottom w:w="0" w:type="dxa"/>
          <w:right w:w="0" w:type="dxa"/>
        </w:tblCellMar>
      </w:tblPr>
      <w:tblGrid>
        <w:gridCol w:w="75"/>
        <w:gridCol w:w="88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81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VIRTUS INFRACAP U.S. PREFERRED STOCK ETF, A SERIES OF ETFIS SERIES TRUST I</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Samuel Caffrey-Agoglia</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8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Samuel Caffrey-Agoglia</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8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General Counsel and Chief Compliance Officer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895" w:type="dxa"/>
        <w:jc w:val="left"/>
        <w:tblInd w:w="0" w:type="dxa"/>
        <w:tblLayout w:type="fixed"/>
        <w:tblCellMar>
          <w:top w:w="0" w:type="dxa"/>
          <w:left w:w="0" w:type="dxa"/>
          <w:bottom w:w="0" w:type="dxa"/>
          <w:right w:w="0" w:type="dxa"/>
        </w:tblCellMar>
      </w:tblPr>
      <w:tblGrid>
        <w:gridCol w:w="75"/>
        <w:gridCol w:w="18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2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JAY HATFIELD</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Jay Hatfield</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720" w:type="dxa"/>
        <w:jc w:val="left"/>
        <w:tblInd w:w="0" w:type="dxa"/>
        <w:tblLayout w:type="fixed"/>
        <w:tblCellMar>
          <w:top w:w="0" w:type="dxa"/>
          <w:left w:w="0" w:type="dxa"/>
          <w:bottom w:w="0" w:type="dxa"/>
          <w:right w:w="0" w:type="dxa"/>
        </w:tblCellMar>
      </w:tblPr>
      <w:tblGrid>
        <w:gridCol w:w="75"/>
        <w:gridCol w:w="86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64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INFRACAP EQUITY INCOME FUND ETF, A SERIES OF SERIES PORTFOLIOS TRUST I</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Samuel Caffrey-Agoglia</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8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Samuel Caffrey-Agoglia</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8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General Counsel and Chief Compliance Officer</w:t>
            </w:r>
          </w:p>
        </w:tc>
      </w:tr>
    </w:tbl>
    <w:p>
      <w:pPr>
        <w:pStyle w:val="TextBody"/>
        <w:bidi w:val="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val="false"/>
          <w:i w:val="false"/>
          <w:caps w:val="false"/>
          <w:smallCaps w:val="false"/>
          <w:sz w:val="22"/>
          <w:u w:val="single"/>
        </w:rPr>
      </w:pPr>
      <w:bookmarkStart w:id="30" w:name="p15051372_exh-b.htm"/>
      <w:bookmarkStart w:id="31" w:name="ksp15051372_exhb"/>
      <w:bookmarkEnd w:id="30"/>
      <w:bookmarkEnd w:id="31"/>
      <w:r>
        <w:rPr>
          <w:rFonts w:ascii="Times New Roman;Times;Serif" w:hAnsi="Times New Roman;Times;Serif"/>
          <w:b w:val="false"/>
          <w:i w:val="false"/>
          <w:caps w:val="false"/>
          <w:smallCaps w:val="false"/>
          <w:sz w:val="22"/>
          <w:u w:val="single"/>
        </w:rPr>
        <w:t>Exhibit B</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CONTROL PERSON IDENTIFICATION</w:t>
      </w:r>
    </w:p>
    <w:p>
      <w:pPr>
        <w:pStyle w:val="TextBody"/>
        <w:bidi w:val="0"/>
        <w:spacing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Infrastructure Capital Advisors, LLC is the relevant entity for which Jay Hatfield may be considered a control person.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2006</Words>
  <Characters>10337</Characters>
  <CharactersWithSpaces>12274</CharactersWithSpaces>
  <Paragraphs>343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